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media/image1.png" ContentType="image/png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>
          <w:trHeight w:val="841" w:hRule="atLeast"/>
        </w:trPr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tabs>
                <w:tab w:val="clear" w:pos="708"/>
                <w:tab w:val="left" w:pos="5529" w:leader="none"/>
              </w:tabs>
              <w:spacing w:before="0" w:after="0"/>
              <w:ind w:hanging="0" w:right="-78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EMITER                                                                                                   </w:t>
            </w:r>
            <w:r>
              <w:rPr>
                <w:shd w:fill="auto" w:val="clear"/>
              </w:rPr>
              <w:drawing>
                <wp:inline distT="0" distB="0" distL="0" distR="0">
                  <wp:extent cx="1057275" cy="341630"/>
                  <wp:effectExtent l="0" t="0" r="0" b="0"/>
                  <wp:docPr id="1" name="Obraz 14" descr="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Obraz 14" descr="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27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ind w:hanging="0"/>
        <w:rPr>
          <w:rFonts w:ascii="Arial" w:hAnsi="Arial" w:cs="Arial"/>
          <w:b/>
          <w:i/>
          <w:i/>
          <w:highlight w:val="none"/>
          <w:shd w:fill="auto" w:val="clear"/>
        </w:rPr>
      </w:pPr>
      <w:r>
        <w:rPr>
          <w:rFonts w:cs="Arial" w:ascii="Arial" w:hAnsi="Arial"/>
          <w:b/>
          <w:i/>
          <w:shd w:fill="auto" w:val="clear"/>
        </w:rPr>
      </w:r>
    </w:p>
    <w:p>
      <w:pPr>
        <w:pStyle w:val="Normal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Prefabrykowana stacja transformatorowa </w:t>
      </w:r>
    </w:p>
    <w:p>
      <w:pPr>
        <w:pStyle w:val="Normal"/>
        <w:spacing w:lineRule="auto" w:line="360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2"/>
          <w:szCs w:val="32"/>
          <w:shd w:fill="auto" w:val="clear"/>
        </w:rPr>
        <w:t xml:space="preserve">typu: </w:t>
      </w:r>
      <w:r>
        <w:rPr>
          <w:rFonts w:cs="Arial" w:ascii="Arial" w:hAnsi="Arial"/>
          <w:b/>
          <w:sz w:val="32"/>
          <w:szCs w:val="32"/>
          <w:shd w:fill="auto" w:val="clear"/>
        </w:rPr>
        <w:t xml:space="preserve">ETSI 25-48 1000 kVA </w:t>
      </w:r>
    </w:p>
    <w:p>
      <w:pPr>
        <w:pStyle w:val="Normal"/>
        <w:spacing w:lineRule="auto" w:line="360"/>
        <w:jc w:val="center"/>
        <w:rPr>
          <w:rFonts w:ascii="Arial" w:hAnsi="Arial" w:cs="Arial"/>
          <w:b/>
          <w:sz w:val="32"/>
          <w:szCs w:val="32"/>
          <w:highlight w:val="none"/>
          <w:shd w:fill="auto" w:val="clear"/>
        </w:rPr>
      </w:pPr>
      <w:r>
        <w:rPr>
          <w:rFonts w:cs="Arial" w:ascii="Arial" w:hAnsi="Arial"/>
          <w:b/>
          <w:sz w:val="32"/>
          <w:szCs w:val="32"/>
          <w:shd w:fill="auto" w:val="clear"/>
        </w:rPr>
      </w:r>
    </w:p>
    <w:p>
      <w:pPr>
        <w:pStyle w:val="Normal"/>
        <w:spacing w:lineRule="auto" w:line="288"/>
        <w:jc w:val="center"/>
        <w:rPr>
          <w:highlight w:val="none"/>
          <w:shd w:fill="auto" w:val="clear"/>
        </w:rPr>
      </w:pPr>
      <w:r>
        <w:rPr>
          <w:rFonts w:cs="Arial" w:ascii="Arial" w:hAnsi="Arial"/>
          <w:b/>
          <w:i/>
          <w:sz w:val="36"/>
          <w:szCs w:val="36"/>
          <w:shd w:fill="auto" w:val="clear"/>
        </w:rPr>
        <w:t>PROJEKT DO ADAPTACJI</w:t>
      </w:r>
    </w:p>
    <w:tbl>
      <w:tblPr>
        <w:tblW w:w="9524" w:type="dxa"/>
        <w:jc w:val="left"/>
        <w:tblInd w:w="68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1728"/>
        <w:gridCol w:w="824"/>
        <w:gridCol w:w="2078"/>
        <w:gridCol w:w="1418"/>
        <w:gridCol w:w="3475"/>
      </w:tblGrid>
      <w:tr>
        <w:trPr>
          <w:trHeight w:val="1021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12" w:before="6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Obiekt: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 xml:space="preserve">Stacja transformatorowa: </w:t>
            </w:r>
            <w:r>
              <w:rPr>
                <w:rFonts w:cs="Arial" w:ascii="Arial" w:hAnsi="Arial"/>
                <w:b/>
                <w:i/>
                <w:sz w:val="22"/>
                <w:shd w:fill="auto" w:val="clear"/>
              </w:rPr>
              <w:t xml:space="preserve">ETSI 25-48 1000 kVA </w:t>
            </w:r>
          </w:p>
        </w:tc>
      </w:tr>
      <w:tr>
        <w:trPr>
          <w:trHeight w:val="1394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Adres obiektu/</w:t>
            </w:r>
          </w:p>
          <w:p>
            <w:pPr>
              <w:pStyle w:val="Normal"/>
              <w:spacing w:lineRule="auto" w:line="240" w:before="0" w:after="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Inwestor :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……………</w:t>
            </w:r>
            <w:r>
              <w:rPr>
                <w:shd w:fill="auto" w:val="clear"/>
              </w:rPr>
              <w:t>..</w:t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b/>
                <w:i/>
                <w:i/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i/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rPr>
                <w:rFonts w:ascii="Arial" w:hAnsi="Arial" w:cs="Arial"/>
                <w:sz w:val="20"/>
                <w:szCs w:val="20"/>
                <w:highlight w:val="none"/>
                <w:shd w:fill="auto" w:val="clear"/>
              </w:rPr>
            </w:pPr>
            <w:r>
              <w:rPr>
                <w:rFonts w:cs="Arial" w:ascii="Arial" w:hAnsi="Arial"/>
                <w:sz w:val="20"/>
                <w:szCs w:val="20"/>
                <w:shd w:fill="auto" w:val="clear"/>
              </w:rPr>
            </w:r>
          </w:p>
        </w:tc>
      </w:tr>
      <w:tr>
        <w:trPr>
          <w:trHeight w:val="676" w:hRule="exact"/>
        </w:trPr>
        <w:tc>
          <w:tcPr>
            <w:tcW w:w="2552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Nr ew. działki</w:t>
            </w:r>
          </w:p>
        </w:tc>
        <w:tc>
          <w:tcPr>
            <w:tcW w:w="6971" w:type="dxa"/>
            <w:gridSpan w:val="3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 xml:space="preserve">dz. Nr.: </w:t>
            </w:r>
          </w:p>
        </w:tc>
      </w:tr>
      <w:tr>
        <w:trPr>
          <w:trHeight w:val="676" w:hRule="exact"/>
        </w:trPr>
        <w:tc>
          <w:tcPr>
            <w:tcW w:w="9523" w:type="dxa"/>
            <w:gridSpan w:val="5"/>
            <w:tcBorders>
              <w:top w:val="single" w:sz="4" w:space="0" w:color="00000A"/>
              <w:bottom w:val="single" w:sz="4" w:space="0" w:color="00000A"/>
            </w:tcBorders>
            <w:shd w:color="auto" w:fill="auto" w:val="clear"/>
            <w:tcMar>
              <w:top w:w="55" w:type="dxa"/>
              <w:left w:w="83" w:type="dxa"/>
              <w:bottom w:w="55" w:type="dxa"/>
            </w:tcMar>
          </w:tcPr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  <w:p>
            <w:pPr>
              <w:pStyle w:val="Normal"/>
              <w:spacing w:lineRule="auto" w:line="264" w:before="4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454" w:hRule="exact"/>
        </w:trPr>
        <w:tc>
          <w:tcPr>
            <w:tcW w:w="9523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 w:right="-79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Opracował</w:t>
            </w:r>
          </w:p>
        </w:tc>
      </w:tr>
      <w:tr>
        <w:trPr>
          <w:trHeight w:val="454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</w:r>
          </w:p>
        </w:tc>
      </w:tr>
      <w:tr>
        <w:trPr>
          <w:trHeight w:val="566" w:hRule="exact"/>
        </w:trPr>
        <w:tc>
          <w:tcPr>
            <w:tcW w:w="172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Budowlana:</w:t>
            </w:r>
          </w:p>
        </w:tc>
        <w:tc>
          <w:tcPr>
            <w:tcW w:w="290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A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p>
      <w:pPr>
        <w:pStyle w:val="Normal"/>
        <w:spacing w:lineRule="auto" w:line="360"/>
        <w:ind w:hanging="0"/>
        <w:rPr>
          <w:rFonts w:ascii="Arial" w:hAnsi="Arial" w:cs="Arial"/>
          <w:sz w:val="22"/>
          <w:highlight w:val="none"/>
          <w:shd w:fill="auto" w:val="clear"/>
        </w:rPr>
      </w:pPr>
      <w:r>
        <w:rPr>
          <w:rFonts w:cs="Arial" w:ascii="Arial" w:hAnsi="Arial"/>
          <w:sz w:val="22"/>
          <w:shd w:fill="auto" w:val="clear"/>
        </w:rPr>
      </w:r>
    </w:p>
    <w:tbl>
      <w:tblPr>
        <w:tblW w:w="9524" w:type="dxa"/>
        <w:jc w:val="left"/>
        <w:tblInd w:w="69" w:type="dxa"/>
        <w:tblLayout w:type="fixed"/>
        <w:tblCellMar>
          <w:top w:w="0" w:type="dxa"/>
          <w:left w:w="63" w:type="dxa"/>
          <w:bottom w:w="0" w:type="dxa"/>
          <w:right w:w="108" w:type="dxa"/>
        </w:tblCellMar>
        <w:tblLook w:firstRow="0" w:noVBand="0" w:lastRow="0" w:firstColumn="0" w:lastColumn="0" w:noHBand="0" w:val="0000"/>
      </w:tblPr>
      <w:tblGrid>
        <w:gridCol w:w="1725"/>
        <w:gridCol w:w="2904"/>
        <w:gridCol w:w="1418"/>
        <w:gridCol w:w="3476"/>
      </w:tblGrid>
      <w:tr>
        <w:trPr>
          <w:trHeight w:val="454" w:hRule="exact"/>
        </w:trPr>
        <w:tc>
          <w:tcPr>
            <w:tcW w:w="952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jc w:val="center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Autorzy projektu / adaptacji</w:t>
            </w:r>
          </w:p>
        </w:tc>
      </w:tr>
      <w:tr>
        <w:trPr>
          <w:trHeight w:val="454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</w:t>
            </w:r>
            <w:r>
              <w:rPr>
                <w:rFonts w:cs="Arial" w:ascii="Arial" w:hAnsi="Arial"/>
                <w:b/>
                <w:shd w:fill="auto" w:val="clear"/>
              </w:rPr>
              <w:t>Branża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 </w:t>
            </w:r>
            <w:r>
              <w:rPr>
                <w:rFonts w:cs="Arial" w:ascii="Arial" w:hAnsi="Arial"/>
                <w:b/>
                <w:shd w:fill="auto" w:val="clear"/>
              </w:rPr>
              <w:t>Imię i Nazwisko</w:t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</w:t>
            </w:r>
            <w:r>
              <w:rPr>
                <w:rFonts w:cs="Arial" w:ascii="Arial" w:hAnsi="Arial"/>
                <w:b/>
                <w:shd w:fill="auto" w:val="clear"/>
              </w:rPr>
              <w:t>Data</w:t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before="120" w:after="120"/>
              <w:ind w:hanging="0"/>
              <w:jc w:val="left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b/>
                <w:shd w:fill="auto" w:val="clear"/>
              </w:rPr>
              <w:t xml:space="preserve">       </w:t>
            </w:r>
            <w:r>
              <w:rPr>
                <w:rFonts w:cs="Arial" w:ascii="Arial" w:hAnsi="Arial"/>
                <w:b/>
                <w:shd w:fill="auto" w:val="clear"/>
              </w:rPr>
              <w:t>Nr uprawnień, podpis</w:t>
            </w:r>
          </w:p>
        </w:tc>
      </w:tr>
      <w:tr>
        <w:trPr>
          <w:trHeight w:val="566" w:hRule="exact"/>
        </w:trPr>
        <w:tc>
          <w:tcPr>
            <w:tcW w:w="17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pacing w:lineRule="auto" w:line="360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Elektryczna:</w:t>
            </w:r>
          </w:p>
        </w:tc>
        <w:tc>
          <w:tcPr>
            <w:tcW w:w="290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141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snapToGrid w:val="false"/>
              <w:spacing w:lineRule="auto" w:line="360"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  <w:tc>
          <w:tcPr>
            <w:tcW w:w="34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snapToGrid w:val="false"/>
              <w:spacing w:before="120" w:after="12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ormal"/>
        <w:spacing w:lineRule="auto" w:line="360"/>
        <w:ind w:hanging="0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tbl>
      <w:tblPr>
        <w:tblW w:w="9494" w:type="dxa"/>
        <w:jc w:val="left"/>
        <w:tblInd w:w="-40" w:type="dxa"/>
        <w:tblLayout w:type="fixed"/>
        <w:tblCellMar>
          <w:top w:w="0" w:type="dxa"/>
          <w:left w:w="6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9494"/>
      </w:tblGrid>
      <w:tr>
        <w:trPr/>
        <w:tc>
          <w:tcPr>
            <w:tcW w:w="949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360" w:before="120" w:after="120"/>
              <w:rPr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  <w:t>Uwagi:</w:t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/>
              <w:jc w:val="center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  <w:p>
            <w:pPr>
              <w:pStyle w:val="Normal"/>
              <w:spacing w:lineRule="auto" w:line="360" w:before="120" w:after="120"/>
              <w:ind w:hanging="0"/>
              <w:rPr>
                <w:rFonts w:ascii="Arial" w:hAnsi="Arial" w:cs="Arial"/>
                <w:highlight w:val="none"/>
                <w:shd w:fill="auto" w:val="clear"/>
              </w:rPr>
            </w:pPr>
            <w:r>
              <w:rPr>
                <w:rFonts w:cs="Arial" w:ascii="Arial" w:hAnsi="Arial"/>
                <w:shd w:fill="auto" w:val="clear"/>
              </w:rPr>
            </w:r>
          </w:p>
        </w:tc>
      </w:tr>
    </w:tbl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lineRule="auto" w:line="36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sdt>
      <w:sdtPr>
        <w:docPartObj>
          <w:docPartGallery w:val="Table of Contents"/>
          <w:docPartUnique w:val="true"/>
        </w:docPartObj>
      </w:sdtPr>
      <w:sdtContent>
        <w:p>
          <w:pPr>
            <w:pStyle w:val="TOCHeading"/>
            <w:ind w:hanging="0" w:left="340"/>
            <w:rPr>
              <w:highlight w:val="none"/>
              <w:shd w:fill="auto" w:val="clear"/>
            </w:rPr>
          </w:pPr>
          <w:bookmarkStart w:id="0" w:name="_Toc109201578"/>
          <w:r>
            <w:rPr>
              <w:rFonts w:ascii="Times New Roman" w:hAnsi="Times New Roman"/>
              <w:color w:val="00000A"/>
              <w:shd w:fill="auto" w:val="clear"/>
            </w:rPr>
            <w:t>Spis treści</w:t>
          </w:r>
          <w:bookmarkEnd w:id="0"/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r>
            <w:fldChar w:fldCharType="begin"/>
          </w:r>
          <w:r>
            <w:rPr>
              <w:webHidden/>
              <w:rStyle w:val="czeindeksu"/>
              <w:shd w:fill="auto" w:val="clear"/>
            </w:rPr>
            <w:instrText xml:space="preserve"> TOC \z \u \t "Nagłówek 31,3,Nagłówek 11,1" \h</w:instrText>
          </w:r>
          <w:r>
            <w:rPr>
              <w:webHidden/>
              <w:rStyle w:val="czeindeksu"/>
              <w:shd w:fill="auto" w:val="clear"/>
            </w:rPr>
            <w:fldChar w:fldCharType="separate"/>
          </w:r>
          <w:hyperlink w:anchor="_Toc109201578">
            <w:r>
              <w:rPr>
                <w:webHidden/>
                <w:rStyle w:val="czeindeksu"/>
                <w:shd w:fill="auto" w:val="clear"/>
              </w:rPr>
              <w:t>Spis treści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79">
            <w:r>
              <w:rPr>
                <w:webHidden/>
                <w:rStyle w:val="czeindeksu"/>
                <w:shd w:fill="auto" w:val="clear"/>
              </w:rPr>
              <w:t>CZĘŚĆ BUDOWLANA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_Toc109201579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0">
            <w:r>
              <w:rPr>
                <w:webHidden/>
                <w:rStyle w:val="czeindeksu"/>
                <w:shd w:fill="auto" w:val="clear"/>
              </w:rPr>
              <w:t>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Przedmiot i zakres opracowania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1">
            <w:r>
              <w:rPr>
                <w:webHidden/>
                <w:rStyle w:val="czeindeksu"/>
                <w:shd w:fill="auto" w:val="clear"/>
              </w:rPr>
              <w:t>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Oznaczenie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2">
            <w:r>
              <w:rPr>
                <w:webHidden/>
                <w:rStyle w:val="czeindeksu"/>
                <w:shd w:fill="auto" w:val="clear"/>
              </w:rPr>
              <w:t>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Geometria oraz forma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3">
            <w:r>
              <w:rPr>
                <w:webHidden/>
                <w:rStyle w:val="czeindeksu"/>
                <w:shd w:fill="auto" w:val="clear"/>
              </w:rPr>
              <w:t>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Elementy konstrukcyjne obudowy stacji transformatorowej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6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4">
            <w:r>
              <w:rPr>
                <w:webHidden/>
                <w:rStyle w:val="czeindeksu"/>
                <w:shd w:fill="auto" w:val="clear"/>
              </w:rPr>
              <w:t>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Wytyczne wykonania, podnoszenia, transportu oraz montażu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8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5">
            <w:r>
              <w:rPr>
                <w:webHidden/>
                <w:rStyle w:val="czeindeksu"/>
                <w:shd w:fill="auto" w:val="clear"/>
              </w:rPr>
              <w:t>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Odporność pożarowa i lokalizacja stacji na działce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9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right" w:pos="9344" w:leader="dot"/>
            </w:tabs>
            <w:rPr/>
          </w:pPr>
          <w:hyperlink w:anchor="_Toc109201586">
            <w:r>
              <w:rPr>
                <w:webHidden/>
                <w:rStyle w:val="czeindeksu"/>
                <w:shd w:fill="auto" w:val="clear"/>
              </w:rPr>
              <w:t>CZĘŚĆ ELEKTRYCZNA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7">
            <w:r>
              <w:rPr>
                <w:webHidden/>
                <w:rStyle w:val="czeindeksu"/>
                <w:shd w:fill="auto" w:val="clear"/>
              </w:rPr>
              <w:t>7.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Opis techniczny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10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8">
            <w:r>
              <w:rPr>
                <w:webHidden/>
                <w:rStyle w:val="czeindeksu"/>
                <w:shd w:fill="auto" w:val="clear"/>
              </w:rPr>
              <w:t>8.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bCs/>
                <w:shd w:fill="auto" w:val="clear"/>
              </w:rPr>
              <w:t>Uwagi końcowe: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13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89">
            <w:r>
              <w:rPr>
                <w:webHidden/>
                <w:rStyle w:val="czeindeksu"/>
                <w:shd w:fill="auto" w:val="clear"/>
              </w:rPr>
              <w:t>9.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Normy i inne dokumenty związane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_Toc109201589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14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1"/>
            <w:tabs>
              <w:tab w:val="clear" w:pos="708"/>
              <w:tab w:val="left" w:pos="1320" w:leader="none"/>
              <w:tab w:val="right" w:pos="9344" w:leader="dot"/>
            </w:tabs>
            <w:rPr/>
          </w:pPr>
          <w:hyperlink w:anchor="_Toc109201590">
            <w:r>
              <w:rPr>
                <w:webHidden/>
                <w:rStyle w:val="czeindeksu"/>
                <w:shd w:fill="auto" w:val="clear"/>
              </w:rPr>
              <w:t>10.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Spis rysunków: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_Toc109201590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1">
            <w:r>
              <w:rPr>
                <w:webHidden/>
                <w:rStyle w:val="czeindeksu"/>
                <w:shd w:fill="auto" w:val="clear"/>
              </w:rPr>
              <w:t>Rys. nr B1.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Widok z góry, rozmieszczenie urządzeń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_Toc109201591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2">
            <w:r>
              <w:rPr>
                <w:webHidden/>
                <w:rStyle w:val="czeindeksu"/>
                <w:shd w:fill="auto" w:val="clear"/>
              </w:rPr>
              <w:t>Rys. nr B2.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Widoki elewacji "A", "B", "C", "D"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_Toc109201592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3">
            <w:r>
              <w:rPr>
                <w:webHidden/>
                <w:rStyle w:val="czeindeksu"/>
                <w:shd w:fill="auto" w:val="clear"/>
              </w:rPr>
              <w:t>Rys. nr B3.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Piwnica kablowa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_Toc109201593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4">
            <w:r>
              <w:rPr>
                <w:webHidden/>
                <w:rStyle w:val="czeindeksu"/>
                <w:shd w:fill="auto" w:val="clear"/>
              </w:rPr>
              <w:t>Rys. nr B4.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Dach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_Toc109201594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5">
            <w:r>
              <w:rPr>
                <w:webHidden/>
                <w:rStyle w:val="czeindeksu"/>
                <w:shd w:fill="auto" w:val="clear"/>
              </w:rPr>
              <w:t>Rys. nr B5.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b w:val="false"/>
                <w:bCs w:val="false"/>
                <w:shd w:fill="auto" w:val="clear"/>
              </w:rPr>
              <w:t>Posadowienie stacji w zależności od rodzaju gruntu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_Toc109201595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6">
            <w:r>
              <w:rPr>
                <w:webHidden/>
                <w:rStyle w:val="czeindeksu"/>
                <w:shd w:fill="auto" w:val="clear"/>
              </w:rPr>
              <w:t>Rys. nr B6.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Posadowienie stacji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_Toc109201596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502" w:leader="none"/>
              <w:tab w:val="right" w:pos="9344" w:leader="dot"/>
            </w:tabs>
            <w:rPr/>
          </w:pPr>
          <w:hyperlink w:anchor="_Toc109201597">
            <w:r>
              <w:rPr>
                <w:webHidden/>
                <w:rStyle w:val="czeindeksu"/>
                <w:shd w:fill="auto" w:val="clear"/>
              </w:rPr>
              <w:t>Rys. nr E1.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rFonts w:eastAsia="Symbol" w:cs="Symbol"/>
                <w:shd w:fill="auto" w:val="clear"/>
              </w:rPr>
              <w:t>Schemat elektryczny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_Toc109201597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8">
            <w:r>
              <w:rPr>
                <w:webHidden/>
                <w:rStyle w:val="czeindeksu"/>
                <w:shd w:fill="auto" w:val="clear"/>
              </w:rPr>
              <w:t>Rys. nr E2.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SN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_Toc109201598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TOC3"/>
            <w:tabs>
              <w:tab w:val="clear" w:pos="708"/>
              <w:tab w:val="left" w:pos="2489" w:leader="none"/>
              <w:tab w:val="right" w:pos="9344" w:leader="dot"/>
            </w:tabs>
            <w:rPr/>
          </w:pPr>
          <w:hyperlink w:anchor="_Toc109201599">
            <w:r>
              <w:rPr>
                <w:webHidden/>
                <w:rStyle w:val="czeindeksu"/>
                <w:shd w:fill="auto" w:val="clear"/>
              </w:rPr>
              <w:t>Rys. nr E3.</w:t>
            </w:r>
            <w:r>
              <w:rPr>
                <w:rStyle w:val="czeindeksu"/>
                <w:rFonts w:eastAsia="" w:ascii="Calibri" w:hAnsi="Calibri" w:asciiTheme="minorHAnsi" w:eastAsiaTheme="minorEastAsia" w:hAnsiTheme="minorHAnsi"/>
                <w:color w:val="000000"/>
                <w:sz w:val="22"/>
                <w:shd w:fill="auto" w:val="clear"/>
                <w:lang w:eastAsia="pl-PL"/>
              </w:rPr>
              <w:tab/>
            </w:r>
            <w:r>
              <w:rPr>
                <w:rStyle w:val="czeindeksu"/>
                <w:shd w:fill="auto" w:val="clear"/>
              </w:rPr>
              <w:t>Rozdzielnica nN</w:t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PAGEREF _Toc109201599 \h</w:instrText>
            </w:r>
            <w:r>
              <w:rPr>
                <w:webHidden/>
              </w:rPr>
              <w:fldChar w:fldCharType="separate"/>
            </w:r>
            <w:r>
              <w:rPr>
                <w:rStyle w:val="czeindeksu"/>
                <w:vanish w:val="false"/>
                <w:shd w:fill="auto" w:val="clear"/>
              </w:rPr>
              <w:tab/>
              <w:t>15</w:t>
            </w:r>
            <w:r>
              <w:rPr>
                <w:webHidden/>
              </w:rPr>
              <w:fldChar w:fldCharType="end"/>
            </w:r>
          </w:hyperlink>
        </w:p>
        <w:p>
          <w:pPr>
            <w:pStyle w:val="Spistreci31"/>
            <w:tabs>
              <w:tab w:val="clear" w:pos="708"/>
              <w:tab w:val="right" w:pos="9354" w:leader="dot"/>
            </w:tabs>
            <w:rPr>
              <w:highlight w:val="none"/>
              <w:shd w:fill="auto" w:val="clear"/>
            </w:rPr>
          </w:pPr>
          <w:r>
            <w:rPr>
              <w:shd w:fill="auto" w:val="clear"/>
            </w:rPr>
          </w:r>
          <w:r>
            <w:rPr>
              <w:shd w:fill="auto" w:val="clear"/>
            </w:rPr>
            <w:fldChar w:fldCharType="end"/>
          </w:r>
        </w:p>
      </w:sdtContent>
    </w:sdt>
    <w:p>
      <w:pPr>
        <w:pStyle w:val="Nagwek11"/>
        <w:numPr>
          <w:ilvl w:val="0"/>
          <w:numId w:val="0"/>
        </w:numPr>
        <w:ind w:hanging="0" w:left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spacing w:before="0" w:after="120"/>
        <w:ind w:hanging="0" w:left="340"/>
        <w:jc w:val="center"/>
        <w:rPr>
          <w:highlight w:val="none"/>
          <w:shd w:fill="auto" w:val="clear"/>
        </w:rPr>
      </w:pPr>
      <w:r>
        <w:br w:type="column"/>
      </w:r>
      <w:bookmarkStart w:id="1" w:name="_Toc109201579"/>
      <w:r>
        <w:rPr>
          <w:u w:val="single"/>
          <w:shd w:fill="auto" w:val="clear"/>
        </w:rPr>
        <w:t>CZĘŚĆ BUDOWLANA</w:t>
      </w:r>
      <w:bookmarkEnd w:id="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" w:name="_Toc109201580"/>
      <w:r>
        <w:rPr>
          <w:shd w:fill="auto" w:val="clear"/>
        </w:rPr>
        <w:t>Przedmiot i zakres opracowania</w:t>
      </w:r>
      <w:bookmarkEnd w:id="2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Przedmiotem opracowania jest prefabrykowana stacja transformatorowa żelbetowa SN/nN,  w obudowie betonowej. Stacje typu ETSI przeznaczone są do współpracy z sieciami kablowymi lub kablowo-napowietrznymi o średnim napięciu w układzie pierścieniowym </w:t>
        <w:br/>
        <w:t xml:space="preserve">lub promieniowym oraz z sieciami niskiego napięcia. Stacje służą do zasilania obiektów </w:t>
        <w:br/>
        <w:t xml:space="preserve">i przestrzeni takich jak: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osiedla mieszkaniowe,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 xml:space="preserve">tereny rekreacyjne, 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place budowy,</w:t>
      </w:r>
    </w:p>
    <w:p>
      <w:pPr>
        <w:pStyle w:val="ListParagraph"/>
        <w:numPr>
          <w:ilvl w:val="0"/>
          <w:numId w:val="6"/>
        </w:numPr>
        <w:spacing w:lineRule="auto" w:line="240" w:before="0" w:after="0"/>
        <w:ind w:hanging="357" w:left="538"/>
        <w:contextualSpacing/>
        <w:rPr>
          <w:highlight w:val="none"/>
          <w:shd w:fill="auto" w:val="clear"/>
        </w:rPr>
      </w:pPr>
      <w:r>
        <w:rPr>
          <w:shd w:fill="auto" w:val="clear"/>
        </w:rPr>
        <w:t>zakłady przemysłowe itp.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Konstrukcja stacji składa się z trzech niezależnych elementów - piwnicy kablowej, bryły głównej oraz płyty dachowej. Wszystkie elementy żelbetowe, wykonywane w przeznaczonym do tego miejscu, wykańczane i wyposażane w urządzenia elektryczne. Stopień wykończenia formy oraz wyposażenia uzależniony jest od wymagań zamawiającego. Bryła główna przeznaczona jest do montażu transformatora oraz rozdzielnic SN i nN. Stacja dzięki zachowaniu odpowiednich wymiarów przystosowana jest do obsługi wewnętrznej. Ponadto posiada ona drzwi wejściowe do części z rozdzielnicami SN i nN oraz drzwi wejściowe </w:t>
        <w:br/>
        <w:t>do części z transformatorem. Komora transformatorowa oddzielona jest od części eksploatacyjnej przegrodą siatkową, ażurową lub ścianką żelbetową. Dostęp do piwnicy zapewniony jest za pomocą włazu umieszczonego w bryle głównej w części z rozdzielnicami.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" w:name="_Toc109201581"/>
      <w:bookmarkStart w:id="4" w:name="_Toc98235859"/>
      <w:bookmarkStart w:id="5" w:name="_Toc95894891"/>
      <w:bookmarkEnd w:id="4"/>
      <w:bookmarkEnd w:id="5"/>
      <w:r>
        <w:rPr>
          <w:shd w:fill="auto" w:val="clear"/>
        </w:rPr>
        <w:t>Oznaczenie stacji</w:t>
      </w:r>
      <w:bookmarkEnd w:id="3"/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Stacja została oznaczona za pomocą symboli literowo-cyfrowych.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Znaczenie poszczególnych symboli jest następujące: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</w:r>
      <w:r>
        <w:rPr>
          <w:shd w:fill="auto" w:val="clear"/>
          <w:lang w:val="en-US"/>
        </w:rPr>
        <w:t>Przykład: ETSI 25-48</w:t>
      </w:r>
    </w:p>
    <w:p>
      <w:pPr>
        <w:pStyle w:val="Normal"/>
        <w:spacing w:lineRule="auto" w:line="276" w:before="0" w:after="0"/>
        <w:ind w:hanging="0" w:left="708"/>
        <w:rPr>
          <w:highlight w:val="none"/>
          <w:shd w:fill="auto" w:val="clear"/>
        </w:rPr>
      </w:pPr>
      <w:r>
        <w:rPr>
          <w:shd w:fill="auto" w:val="clear"/>
          <w:lang w:val="en-GB"/>
        </w:rPr>
        <w:t>ETSI</w:t>
        <w:tab/>
        <w:t xml:space="preserve">– Emiter Transformer Substation with Internal Operation. </w:t>
      </w:r>
      <w:r>
        <w:rPr>
          <w:shd w:fill="auto" w:val="clear"/>
        </w:rPr>
        <w:t>Stacja transformatorowa z wewnętrznym korytarzem obsługi;</w:t>
      </w:r>
    </w:p>
    <w:p>
      <w:pPr>
        <w:pStyle w:val="Normal"/>
        <w:spacing w:lineRule="auto" w:line="276" w:before="0" w:after="0"/>
        <w:rPr>
          <w:highlight w:val="none"/>
          <w:shd w:fill="auto" w:val="clear"/>
        </w:rPr>
      </w:pPr>
      <w:r>
        <w:rPr>
          <w:shd w:fill="auto" w:val="clear"/>
        </w:rPr>
        <w:t>25-48 – wymiary budynku 2,50m x 4,80m</w:t>
      </w:r>
    </w:p>
    <w:p>
      <w:pPr>
        <w:pStyle w:val="Nagwek11"/>
        <w:numPr>
          <w:ilvl w:val="0"/>
          <w:numId w:val="3"/>
        </w:numPr>
        <w:spacing w:before="171" w:after="171"/>
        <w:rPr>
          <w:highlight w:val="none"/>
          <w:shd w:fill="auto" w:val="clear"/>
        </w:rPr>
      </w:pPr>
      <w:bookmarkStart w:id="6" w:name="_Toc109201582"/>
      <w:bookmarkStart w:id="7" w:name="_Toc98235860"/>
      <w:bookmarkEnd w:id="7"/>
      <w:r>
        <w:rPr>
          <w:shd w:fill="auto" w:val="clear"/>
        </w:rPr>
        <w:t>Geometria oraz forma obudowy stacji transformatorowej</w:t>
      </w:r>
      <w:bookmarkEnd w:id="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  <w:lang w:eastAsia="ar-SA"/>
        </w:rPr>
        <w:t>Wymiary i masę nominalną projektowanych elementów prefabrykowanych obudowy stacji transformatorowej przedstawiono poniżej:</w:t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2"/>
          <w:szCs w:val="22"/>
          <w:shd w:fill="auto" w:val="clear"/>
          <w:lang w:eastAsia="ar-SA"/>
        </w:rPr>
        <w:t xml:space="preserve">Masa nominalna projektowanych elementów </w:t>
      </w:r>
      <w:r>
        <w:rPr>
          <w:b/>
          <w:sz w:val="22"/>
          <w:szCs w:val="22"/>
          <w:shd w:fill="auto" w:val="clear"/>
          <w:lang w:eastAsia="ar-SA"/>
        </w:rPr>
        <w:t>ETSI 25-48</w:t>
      </w:r>
      <w:r>
        <w:rPr>
          <w:b/>
          <w:sz w:val="22"/>
          <w:szCs w:val="22"/>
          <w:shd w:fill="auto" w:val="clear"/>
          <w:lang w:eastAsia="ar-SA"/>
        </w:rPr>
        <w:t xml:space="preserve"> (bez wyposażenia elektrycznego):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521"/>
        <w:gridCol w:w="7"/>
        <w:gridCol w:w="2267"/>
      </w:tblGrid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Bryła główna 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15,2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Piwnica kablowa</w:t>
            </w:r>
            <w:r>
              <w:rPr>
                <w:szCs w:val="24"/>
                <w:shd w:fill="auto" w:val="clear"/>
              </w:rPr>
              <w:t xml:space="preserve"> [ t ]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6,8</w:t>
            </w:r>
          </w:p>
        </w:tc>
      </w:tr>
      <w:tr>
        <w:trPr/>
        <w:tc>
          <w:tcPr>
            <w:tcW w:w="5528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 xml:space="preserve">Płyta dachowa </w:t>
            </w:r>
            <w:r>
              <w:rPr>
                <w:szCs w:val="24"/>
                <w:shd w:fill="auto" w:val="clear"/>
              </w:rPr>
              <w:t xml:space="preserve">[ t ] </w:t>
            </w:r>
          </w:p>
        </w:tc>
        <w:tc>
          <w:tcPr>
            <w:tcW w:w="226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4,2</w:t>
            </w:r>
          </w:p>
        </w:tc>
      </w:tr>
      <w:tr>
        <w:trPr>
          <w:trHeight w:val="330" w:hRule="atLeast"/>
          <w:cantSplit w:val="true"/>
        </w:trPr>
        <w:tc>
          <w:tcPr>
            <w:tcW w:w="552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  <w:t>Łączna masa [ t ]</w:t>
            </w:r>
          </w:p>
        </w:tc>
        <w:tc>
          <w:tcPr>
            <w:tcW w:w="22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26,2</w:t>
            </w:r>
          </w:p>
        </w:tc>
      </w:tr>
    </w:tbl>
    <w:p>
      <w:pPr>
        <w:pStyle w:val="BodyTextIndent3"/>
        <w:spacing w:lineRule="auto" w:line="312"/>
        <w:ind w:hanging="0" w:left="0"/>
        <w:rPr>
          <w:b/>
          <w:sz w:val="22"/>
          <w:szCs w:val="22"/>
          <w:highlight w:val="none"/>
          <w:shd w:fill="auto" w:val="clear"/>
          <w:lang w:eastAsia="ar-SA"/>
        </w:rPr>
      </w:pPr>
      <w:r>
        <w:rPr>
          <w:b/>
          <w:sz w:val="22"/>
          <w:szCs w:val="22"/>
          <w:shd w:fill="auto" w:val="clear"/>
          <w:lang w:eastAsia="ar-SA"/>
        </w:rPr>
      </w:r>
    </w:p>
    <w:p>
      <w:pPr>
        <w:pStyle w:val="BodyTextIndent3"/>
        <w:spacing w:lineRule="auto" w:line="312"/>
        <w:ind w:hanging="0" w:left="0"/>
        <w:rPr>
          <w:highlight w:val="none"/>
          <w:shd w:fill="auto" w:val="clear"/>
        </w:rPr>
      </w:pPr>
      <w:r>
        <w:rPr>
          <w:b/>
          <w:sz w:val="24"/>
          <w:szCs w:val="24"/>
          <w:shd w:fill="auto" w:val="clear"/>
          <w:lang w:eastAsia="ar-SA"/>
        </w:rPr>
        <w:t xml:space="preserve">Wymiary projektowanej stacji ETSI </w:t>
      </w:r>
      <w:r>
        <w:rPr>
          <w:b/>
          <w:sz w:val="24"/>
          <w:szCs w:val="24"/>
          <w:shd w:fill="auto" w:val="clear"/>
          <w:lang w:eastAsia="ar-SA"/>
        </w:rPr>
        <w:t>2,50x 4,80:</w:t>
      </w:r>
    </w:p>
    <w:tbl>
      <w:tblPr>
        <w:tblW w:w="7796" w:type="dxa"/>
        <w:jc w:val="left"/>
        <w:tblInd w:w="739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3554"/>
        <w:gridCol w:w="1967"/>
        <w:gridCol w:w="7"/>
        <w:gridCol w:w="2268"/>
      </w:tblGrid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Bryła główna: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 [mm]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4800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4560</w:t>
            </w:r>
          </w:p>
        </w:tc>
      </w:tr>
      <w:tr>
        <w:trPr/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jc w:val="left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74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2500</w:t>
            </w:r>
          </w:p>
        </w:tc>
        <w:tc>
          <w:tcPr>
            <w:tcW w:w="226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2260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2850</w:t>
            </w:r>
          </w:p>
        </w:tc>
        <w:tc>
          <w:tcPr>
            <w:tcW w:w="2275" w:type="dxa"/>
            <w:gridSpan w:val="2"/>
            <w:tcBorders>
              <w:top w:val="single" w:sz="4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2650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Piwnica kablowa: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wewnętrzny  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4776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4536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2476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2236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915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1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795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Płyta dachowa:</w:t>
            </w:r>
          </w:p>
        </w:tc>
        <w:tc>
          <w:tcPr>
            <w:tcW w:w="1967" w:type="dxa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zewnętrzny [mm]</w:t>
            </w:r>
          </w:p>
        </w:tc>
        <w:tc>
          <w:tcPr>
            <w:tcW w:w="2275" w:type="dxa"/>
            <w:gridSpan w:val="2"/>
            <w:tcBorders>
              <w:top w:val="single" w:sz="1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długość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4980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szerokość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color w:themeColor="text1" w:val="000000"/>
                <w:shd w:fill="auto" w:val="clear"/>
                <w:lang w:eastAsia="ar-SA"/>
              </w:rPr>
              <w:t>2680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wysokość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186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b/>
                <w:szCs w:val="24"/>
                <w:highlight w:val="none"/>
                <w:shd w:fill="auto" w:val="clear"/>
              </w:rPr>
            </w:pPr>
            <w:r>
              <w:rPr>
                <w:b/>
                <w:szCs w:val="24"/>
                <w:shd w:fill="auto" w:val="clear"/>
              </w:rPr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Wys. od poz. terenu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  <w:lang w:eastAsia="ar-SA"/>
              </w:rPr>
              <w:t>2936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[mm]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zabudowy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12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  <w:tr>
        <w:trPr>
          <w:trHeight w:val="330" w:hRule="atLeast"/>
          <w:cantSplit w:val="true"/>
        </w:trPr>
        <w:tc>
          <w:tcPr>
            <w:tcW w:w="3554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rPr>
                <w:highlight w:val="none"/>
                <w:shd w:fill="auto" w:val="clear"/>
              </w:rPr>
            </w:pPr>
            <w:r>
              <w:rPr>
                <w:b/>
                <w:shd w:fill="auto" w:val="clear"/>
                <w:lang w:eastAsia="ar-SA"/>
              </w:rPr>
              <w:t>Powierzchnia użytkowa</w:t>
            </w:r>
          </w:p>
        </w:tc>
        <w:tc>
          <w:tcPr>
            <w:tcW w:w="1967" w:type="dxa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10,3</w:t>
            </w:r>
          </w:p>
        </w:tc>
        <w:tc>
          <w:tcPr>
            <w:tcW w:w="2275" w:type="dxa"/>
            <w:gridSpan w:val="2"/>
            <w:tcBorders>
              <w:top w:val="single" w:sz="2" w:space="0" w:color="00000A"/>
              <w:left w:val="single" w:sz="4" w:space="0" w:color="00000A"/>
              <w:bottom w:val="single" w:sz="2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BodyText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zCs w:val="24"/>
                <w:shd w:fill="auto" w:val="clear"/>
              </w:rPr>
              <w:t>[m2]</w:t>
            </w:r>
          </w:p>
        </w:tc>
      </w:tr>
    </w:tbl>
    <w:p>
      <w:pPr>
        <w:pStyle w:val="Normal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ormal"/>
        <w:ind w:hanging="0"/>
        <w:rPr>
          <w:highlight w:val="none"/>
          <w:shd w:fill="auto" w:val="clear"/>
          <w:lang w:eastAsia="ar-SA"/>
        </w:rPr>
      </w:pPr>
      <w:r>
        <w:rPr>
          <w:shd w:fill="auto" w:val="clear"/>
          <w:lang w:eastAsia="ar-SA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8" w:name="_Toc109201583"/>
      <w:bookmarkStart w:id="9" w:name="_Toc98235861"/>
      <w:bookmarkEnd w:id="9"/>
      <w:r>
        <w:rPr>
          <w:shd w:fill="auto" w:val="clear"/>
        </w:rPr>
        <w:t>Elementy konstrukcyjne obudowy stacji transformatorowej</w:t>
      </w:r>
      <w:bookmarkEnd w:id="8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0" w:name="_Toc98235862"/>
      <w:r>
        <w:rPr>
          <w:shd w:fill="auto" w:val="clear"/>
        </w:rPr>
        <w:t>D</w:t>
      </w:r>
      <w:bookmarkEnd w:id="10"/>
      <w:r>
        <w:rPr>
          <w:shd w:fill="auto" w:val="clear"/>
        </w:rPr>
        <w:t>ach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obudowy stacji transformatorowej wykonany jest w postaci płyty żelbetowej w kształcie prostokątnym oraz zmiennej grubości w celu ukształtowania 3% spadku. Dach jest wykonany jako dwuspadowy. Minimalna grubość płyty dachowej wynosi 120 mm, </w:t>
        <w:br/>
        <w:t xml:space="preserve">a maksymalna 186 mm. Płyta dachowa wykonana jest z betonu samozagęszczanego SCC klasy C-30/37. Elementy takie jak krawędź czy okap są dodatkowo dozbrajane.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osadzany jest bezpośrednio na ścianach, na specjalnych podkładach z elastomeru dzięki którym pomiędzy ścianami stacji a dachem tworzy się szczelina, która służy do wentylacji grawitacyjnej pomieszczenia stacji.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1" w:name="_Toc98235863"/>
      <w:bookmarkEnd w:id="11"/>
      <w:r>
        <w:rPr>
          <w:shd w:fill="auto" w:val="clear"/>
        </w:rPr>
        <w:t>Bryła główna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Bryłę główną obudowy stacji transformatorowej stanowi monolitycznie powiązany </w:t>
        <w:br/>
        <w:t>ze sobą układ czterech ścian i podłogi. Podłoga stanowi oddzielenie pomieszczeń: transformatora i rozdzielnic od wewnętrznej przestrzeni piwnicy kablowej.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Obudowa wykonana jest z betonu samozagęszczanego SCC klasy C-30/37. Obudowę wykonuje się równocześnie betonując ściany z podłogą, dzięki czemu tworzony jest szczelny monolit.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Oddzielenie pomieszczenia transformatora od pomieszczenia rozdzielnic stanowi przegroda siatkowa lub blacha perforowana. W bryle głównej wykonuje się otwory w ścianach na  drzwi i kraty wentylacyjne, natomiast w podłodze otwory włazowe oraz otwory </w:t>
        <w:br/>
        <w:t>dla przeprowadzenia kabli do piwnicy. Typ oddzielenia oraz umiejscowienie i gabaryty otworów są zindywidualizowane dla każdego projektu i zależą od zaistniałych potrzeb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Wewnętrzna powierzchnia ścian pokryta jest farbą templową w kolorze białym lub innym o jasnym odcieniu. Zewnętrzna powierzchnia ścian pokryta jest także tynkiem akrylowym elewacyjnym. Kolorystyka i rodzaj elewacji oferowane są w wersji standardowej (patrz katalog producenta). Istnieje możliwość wykonania kolorystyki i rodzaju elewacji obudowy według indywidualnych wymagań klienta.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2" w:name="_Toc98235864"/>
      <w:bookmarkEnd w:id="12"/>
      <w:r>
        <w:rPr>
          <w:shd w:fill="auto" w:val="clear"/>
        </w:rPr>
        <w:t>Piwnica kablowa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Piwnica kablowa wykonana jest w postaci jednolitego prefabrykatu o wymiarach dostosowanych do strefy przemarzania gruntu, według normy [2] i pełniącego jednocześnie rolę fundamentu stacji. Piwnica kablowa wykonana jest z betonu samozagęszczanego SCC klasy </w:t>
        <w:br/>
        <w:t xml:space="preserve">C-30/37.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przeznaczenia stacji do zainstalowania w niej transformatora olejowego piwnica kablowa posiada wydzielone komory: misę olejową i przedział kablowy. Komory te oddzielone są przegrodą betonową o wysokości 380 mm. Misa może pomieścić z zapasem całą zawartość oleju z transformatora. Powierzchnia misy olejowej jest pokryta 2-krotną warstwą farby olejoochronnej. Ściany zewnętrzne piwnicy pokryte są środkiem hydroizolacyjnym.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piwnicy na etapie jej odlewania, instalowane są przepusty kablowe zgodnie </w:t>
        <w:br/>
        <w:t>z wymaganiami klienta. W aktualnym rozwiązaniu przewiduje się montaż następujących przepustów: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 xml:space="preserve">2x przepust APP – 150/120 dla kabli SN  </w:t>
      </w:r>
    </w:p>
    <w:p>
      <w:pPr>
        <w:pStyle w:val="Normal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2x przepust bateryjny Fe/Zn 10x75 – dla kabli nN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>Warunki gruntowo-wodne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Lokalizację transformatorowych stacji prefabrykowanych zakłada się w terenie, gdzie nie stwierdzono występowania wody gruntowej powyżej poziomu posadowienia (w obliczeniach nie uwzględniono parcia hydrostatycznego), świeżych form osuwiskowych, spełzów zboczowych oraz innych zjawisk geodynamicznych destabilizujących podłoże budowlane.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Rozwiązanie sposobu posadowienia uwarunkowane jest zastanymi warunkami gruntowo </w:t>
        <w:br/>
        <w:t>- wodnymi w rejonie lokalizacji obiektu budowlanego. Właściwe rozpoznanie wymienionych wcześniej warunków oraz przygotowanie podłoża w miejscu posadowienia leży po stronie Inwestora. Wszelkie prace wynikające z zakresu posadowienia stacji winny być prowadzone pod nadzorem osób uprawnionych, potwierdzone stosownymi protokołami odbioru, na podstawie wcześniej wykonanych opracowań branżowych, nie będących w zakresie sprzedawcy stacji transformatorowych.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3" w:name="_Toc98235865"/>
      <w:bookmarkEnd w:id="13"/>
      <w:r>
        <w:rPr>
          <w:shd w:fill="auto" w:val="clear"/>
        </w:rPr>
        <w:t>Posadowienie na gruncie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Posadowienie stacji polega na wykonaniu w ziemi wykopu szerokoprzestrzennego zgodnego z rysunkiem posadowienia stacji. Należy zwrócić uwagę, aby wykopu nie przegłębić </w:t>
        <w:br/>
        <w:t xml:space="preserve">i pozostawić grunt rodzimy w stanie nienaruszonym. Podłoże wykopu należy wyłożyć warstwą żwiru o grubości 100 mm zagęszczonego mechanicznie, a jego powierzchnia musi zostać starannie wypoziomowana. W wykopie należy ułożyć uziom otokowy </w:t>
        <w:br/>
        <w:t xml:space="preserve">i podłączyć do niego przewody uziemiające, które będą podłączone do stacji. Bednarkę uziemiająca usytuować w odległości ok 1 m od ścian fundamentu poniżej poziomu drenażu </w:t>
        <w:br/>
        <w:t xml:space="preserve">i zasypać ją gruntem rodzimym.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W przypadku stwierdzenia w poziomie posadowienia gruntu niejednorodnego, gliniastego lub podsiąkania wody gruntowej należy na warstwie podsypki wykonać warstwę podłoża z betonu klasy min. C 12/15 grubości 12÷15 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Szczegółowe wytyczne dotyczące wykonania podbudowy pod stacją przedstawione są </w:t>
        <w:br/>
        <w:t xml:space="preserve">na dołączonych do dokumentacji rysunkach. Należy zastosować jeden z czterech proponowanych wariantów w zależności od warunków gruntowych obiektu.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4" w:name="_Toc109201584"/>
      <w:bookmarkStart w:id="15" w:name="_Toc98235866"/>
      <w:bookmarkEnd w:id="15"/>
      <w:r>
        <w:rPr>
          <w:shd w:fill="auto" w:val="clear"/>
        </w:rPr>
        <w:t>Wytyczne wykonania, podnoszenia, transportu oraz montażu</w:t>
      </w:r>
      <w:bookmarkEnd w:id="14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6" w:name="_Toc98235868"/>
      <w:r>
        <w:rPr>
          <w:shd w:fill="auto" w:val="clear"/>
        </w:rPr>
        <w:t>Podnoszenie składowanie i transport</w:t>
      </w:r>
      <w:bookmarkEnd w:id="16"/>
      <w:r>
        <w:rPr>
          <w:shd w:fill="auto" w:val="clear"/>
        </w:rPr>
        <w:t xml:space="preserve"> elementów obudowy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Elementy obudowy należy podnosić i transportować przy użyciu dźwigu lub suwnicy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 nośności dostosowanej do ciężaru prefabrykatów przy pomocy zamocowanych w elementach pętli gwintowanych. Umiejscowienie haków w poszczególnych elementach prefabrykowanych stacji pokazano na rysunkach konstrukcyjnych. Nie należy zmieniać lokalizacji haków transportowych, ponieważ może to wpłynąć na statykę danego elementu i w konsekwencji doprowadzić do jego zniszczenia.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  <w:t>Elementy obudowy składować należy na terenie płaskim, utwardzonym.</w:t>
      </w:r>
    </w:p>
    <w:p>
      <w:pPr>
        <w:pStyle w:val="BodyText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7" w:name="_Toc98235869"/>
      <w:bookmarkEnd w:id="17"/>
      <w:r>
        <w:rPr>
          <w:shd w:fill="auto" w:val="clear"/>
        </w:rPr>
        <w:t>Opis montażu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Sposób montażu oraz transportu pokazano na rysunkach załączonych do niniejszego opracowania. Elementy obudowy stacji należy układać na terenie płaskim, odpowiednio wyrównanym i utwardzonym (zminimalizowane osiadanie) na podbudowie żwirowej gr. 20cm lub podłożu betonowym gr. min 12cm.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Piwnicę kablową należy ustawić w wykopie na wypoziomowanej i zagęszczonej podsypce żwirowej. Należy ją starannie wypoziomować. Na górnej powierzchni ścianek piwnicy kablowej należy nanieść elastyczną masę przeciwwilgociową zabezpieczającą płaszczyznę styku z bryłą główną obudowy stacji. Na górnej powierzchni ścianek bryły głównej, w miejscu styku </w:t>
        <w:br/>
        <w:t>z dachem stacji należy rozmieścić podkładki elastomerowe o grubości 15 mm. Dopiero po ich ułożeniu można umieścić płytę dachową.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Dach ułożony jest swobodnie, dzięki czemu w momencie wystąpienia zwarcia łukowego ma możliwość unoszenia się do góry, dając ujście ciśnieniu oraz gazom i cząsteczkom połukowym, a następnie opada swobodnie na swoje dawne miejsce. Należy zaznaczyć, że podpory dla dachu stanowią dwie ściany obudowy po długości.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Podobnie ma się sytuacja w odniesieniu dla podłogi, przy czym tutaj podpory stanowią ściany po długości elementu piwnicy.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18" w:name="_Toc98235870"/>
      <w:bookmarkEnd w:id="18"/>
      <w:r>
        <w:rPr>
          <w:shd w:fill="auto" w:val="clear"/>
        </w:rPr>
        <w:t>Zasady bezpieczeństwa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 xml:space="preserve">Uchwyty   montażowe   zastosowane   do   prefabrykatów   muszą   posiadać wszystkie odpowiednie atesty zgodnie z przepisami szczegółowymi. Dopuszcza się zastosowanie innych niż przyjęte w projekcie uchwytów montażowych z zachowaniem ich nośności odpowiednio </w:t>
        <w:br/>
        <w:t>do masy prefabrykatów. Nie dopuszcza się zmiany miejsc montażu uchwytów w prefabrykatach gdyż może to doprowadzić do zmiany schematu statycznego, a w rezultacie do zniszczenia formy.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Montaż prefabrykatów musi odbywać się pod nadzorem osoby z odpowiednimi uprawnieniami budowlanymi. Dopuszcza się montaż obiektu po uprzednim uzyskaniu niezbędnego wymaganego pozwolenia. Pozwolenia na budowę lub zgłoszenia nie są przedmiotem niniejszego opracowania.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19" w:name="_Toc109201585"/>
      <w:bookmarkStart w:id="20" w:name="_Toc98235871"/>
      <w:bookmarkEnd w:id="20"/>
      <w:r>
        <w:rPr>
          <w:shd w:fill="auto" w:val="clear"/>
        </w:rPr>
        <w:t>Odporność pożarowa i lokalizacja stacji na działce</w:t>
      </w:r>
      <w:bookmarkEnd w:id="19"/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Lokalizację stacji na działce przyjmuje się zgodnie z danym projektem architektoniczno-budowlanym na podstawie przepisów Rozporządzenia Ministra Infrastruktury z dnia 12 kwietnia 2002 w sprawie warunków technicznych, jakim powinny odpowiadać budynki i ich usytuowanie. (Dz. U. Nr 75 poz. 690 z poźn. zmianami), a także w przepisach odrębnych w tym higieniczno-sanitarnych, o bezpieczeństwie i higienie pracy, o ochronie przeciwpożarowej </w:t>
        <w:br/>
        <w:t>oraz o drogach publicznych.</w:t>
      </w:r>
    </w:p>
    <w:p>
      <w:pPr>
        <w:pStyle w:val="Nagwek21"/>
        <w:numPr>
          <w:ilvl w:val="1"/>
          <w:numId w:val="3"/>
        </w:numPr>
        <w:tabs>
          <w:tab w:val="clear" w:pos="1983"/>
          <w:tab w:val="clear" w:pos="2150"/>
          <w:tab w:val="clear" w:pos="2267"/>
          <w:tab w:val="left" w:pos="1701" w:leader="none"/>
        </w:tabs>
        <w:ind w:hanging="152" w:left="1712"/>
        <w:rPr>
          <w:highlight w:val="none"/>
          <w:shd w:fill="auto" w:val="clear"/>
        </w:rPr>
      </w:pPr>
      <w:r>
        <w:rPr>
          <w:shd w:fill="auto" w:val="clear"/>
        </w:rPr>
        <w:t>Wytrzymałość ogniowa obudowy stacji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 w:cs="Symbol"/>
          <w:shd w:fill="auto" w:val="clear"/>
        </w:rPr>
        <w:t xml:space="preserve">Zgodnie z Polską Normą PN-EN 62271-202:2010 [2], materiały użyte w konstrukcji stacji transformatorowej prefabrykowanej powinny posiadać minimalny poziom odporności </w:t>
        <w:br/>
        <w:t xml:space="preserve">na ogień pojawiający się wewnątrz lub na zewnątrz stacji. W wytrzymałości ogniowej uwzględniana jest tylko reakcja na ogień. Dopuszcza się rozważanie odporności na ogień, według lokalnych przepisów, co jest przedmiotem uzgodnień między wytwórcą </w:t>
        <w:br/>
        <w:t>i użytkownikiem.</w:t>
      </w:r>
    </w:p>
    <w:p>
      <w:pPr>
        <w:pStyle w:val="Normal"/>
        <w:rPr>
          <w:highlight w:val="none"/>
          <w:shd w:fill="auto" w:val="clear"/>
        </w:rPr>
      </w:pPr>
      <w:r>
        <w:rPr>
          <w:rFonts w:eastAsia="Symbol"/>
          <w:shd w:fill="auto" w:val="clear"/>
        </w:rPr>
        <w:t>Elementy obudowy posiadają klasę odporności ogniowej odpowiednio do ich klasy odporności pożarowej i nierozprzestrzeniają ognia – ściana boczna (bez kraty wentylacyjnej) i dach – REI 120.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Drzwi w ścianie frontowej (do komór transformatorów oraz do przedziału obsługi wewnętrznej) są stalowe, płaszczowe i mogą być wykonane w wersji posiadającej odporność ogniową do EI 120. Z kolei kraty wentylacyjne w ścianie tylnej mogą posiadać klapy ppoż. o odporności ogniowej do EI 120.</w:t>
      </w:r>
    </w:p>
    <w:p>
      <w:pPr>
        <w:pStyle w:val="Normal"/>
        <w:rPr>
          <w:rFonts w:eastAsia="Symbol" w:cs="Symbol"/>
          <w:highlight w:val="none"/>
          <w:shd w:fill="auto" w:val="clear"/>
        </w:rPr>
      </w:pPr>
      <w:r>
        <w:rPr>
          <w:rFonts w:eastAsia="Symbol" w:cs="Symbol"/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0"/>
        </w:numPr>
        <w:ind w:hanging="0" w:left="340"/>
        <w:jc w:val="center"/>
        <w:rPr>
          <w:highlight w:val="none"/>
          <w:shd w:fill="auto" w:val="clear"/>
        </w:rPr>
      </w:pPr>
      <w:bookmarkStart w:id="21" w:name="_Toc109201586"/>
      <w:r>
        <w:rPr>
          <w:u w:val="single"/>
          <w:shd w:fill="auto" w:val="clear"/>
        </w:rPr>
        <w:t>CZĘŚĆ ELEKTRYCZNA</w:t>
      </w:r>
      <w:bookmarkEnd w:id="21"/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22" w:name="_Toc109201587"/>
      <w:r>
        <w:rPr>
          <w:shd w:fill="auto" w:val="clear"/>
        </w:rPr>
        <w:t>Opis techniczny</w:t>
      </w:r>
      <w:bookmarkEnd w:id="22"/>
    </w:p>
    <w:p>
      <w:pPr>
        <w:pStyle w:val="Nagwek11"/>
        <w:numPr>
          <w:ilvl w:val="0"/>
          <w:numId w:val="0"/>
        </w:numPr>
        <w:ind w:hanging="0" w:left="34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3" w:name="_Toc98235873"/>
      <w:bookmarkEnd w:id="23"/>
      <w:r>
        <w:rPr>
          <w:shd w:fill="auto" w:val="clear"/>
        </w:rPr>
        <w:t>Wstęp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Projektuje się kontenerową stację transformatorową z obsługą wewnętrzną, </w:t>
        <w:br/>
        <w:t>typu ETSI 25 x 48 z transformatorem …/0,4 kV o mocy 1000 kVA.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  <w:bookmarkStart w:id="24" w:name="_Toc95894902"/>
      <w:bookmarkStart w:id="25" w:name="_Toc98235874"/>
      <w:bookmarkStart w:id="26" w:name="_Toc95894902"/>
      <w:bookmarkStart w:id="27" w:name="_Toc98235874"/>
      <w:bookmarkEnd w:id="26"/>
      <w:bookmarkEnd w:id="27"/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8" w:name="_Toc98235875"/>
      <w:bookmarkEnd w:id="28"/>
      <w:r>
        <w:rPr>
          <w:shd w:fill="auto" w:val="clear"/>
        </w:rPr>
        <w:t>Rozdzielnica średniego napięcia</w:t>
      </w:r>
    </w:p>
    <w:p>
      <w:pPr>
        <w:pStyle w:val="ListParagraph"/>
        <w:ind w:hanging="0" w:left="340"/>
        <w:rPr>
          <w:highlight w:val="none"/>
          <w:shd w:fill="auto" w:val="clear"/>
        </w:rPr>
      </w:pPr>
      <w:r>
        <w:rPr>
          <w:shd w:fill="auto" w:val="clear"/>
        </w:rPr>
        <w:t xml:space="preserve">W stacji zastosowano 3-polową rozdzielnicę SN typu EMVS </w:t>
      </w:r>
      <w:r>
        <w:rPr>
          <w:shd w:fill="auto" w:val="clear"/>
        </w:rPr>
        <w:t>ECO</w:t>
      </w:r>
      <w:r>
        <w:rPr>
          <w:shd w:fill="auto" w:val="clear"/>
        </w:rPr>
        <w:t xml:space="preserve"> produkcji Emiter </w:t>
        <w:br/>
        <w:t xml:space="preserve">z aparaturą łączeniową w izolacji </w:t>
      </w:r>
      <w:r>
        <w:rPr>
          <w:shd w:fill="auto" w:val="clear"/>
        </w:rPr>
        <w:t xml:space="preserve">czystego powietrza – bez </w:t>
      </w:r>
      <w:r>
        <w:rPr>
          <w:shd w:fill="auto" w:val="clear"/>
        </w:rPr>
        <w:t>gazu SF</w:t>
      </w:r>
      <w:r>
        <w:rPr>
          <w:shd w:fill="auto" w:val="clear"/>
          <w:vertAlign w:val="subscript"/>
        </w:rPr>
        <w:t>6</w:t>
      </w:r>
      <w:r>
        <w:rPr>
          <w:shd w:fill="auto" w:val="clear"/>
        </w:rPr>
        <w:t xml:space="preserve"> - o konfiguracji: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>-   1x pole transformatorowe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  4x pole liniowe. 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SN: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</w:t>
      </w:r>
      <w:r>
        <w:rPr>
          <w:color w:val="000000"/>
          <w:szCs w:val="24"/>
          <w:shd w:fill="auto" w:val="clear"/>
        </w:rPr>
        <w:t xml:space="preserve">Szerokość - </w:t>
        <w:tab/>
        <w:t>1875 mm.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color w:val="000000"/>
          <w:szCs w:val="24"/>
          <w:shd w:fill="auto" w:val="clear"/>
        </w:rPr>
        <w:t xml:space="preserve">- Głębokość - </w:t>
        <w:tab/>
      </w:r>
      <w:r>
        <w:rPr>
          <w:color w:val="000000"/>
          <w:szCs w:val="24"/>
          <w:shd w:fill="auto" w:val="clear"/>
        </w:rPr>
        <w:t>1026</w:t>
      </w:r>
      <w:r>
        <w:rPr>
          <w:color w:val="000000"/>
          <w:szCs w:val="24"/>
          <w:shd w:fill="auto" w:val="clear"/>
        </w:rPr>
        <w:t xml:space="preserve"> mm.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Rozdzielnica SN jest wyposażona w rozłącznik z napędem ręcznym (w polu liniowym). W polu transformatorowym znajduje się rozłącznik i podstawa bezpiecznikowa. 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kablem 3xYHAKXS 1x70 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 Szczegółowe dane rozdzielnicy SN, znajdują się  w dokumentacji techniczno ruchowej rozdzielnicy SN. W polu transformatorowym zastosowano głowice typu C.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29" w:name="_Toc95894905"/>
      <w:bookmarkStart w:id="30" w:name="_Toc98235876"/>
      <w:bookmarkEnd w:id="29"/>
      <w:bookmarkEnd w:id="30"/>
      <w:r>
        <w:rPr>
          <w:shd w:fill="auto" w:val="clear"/>
        </w:rPr>
        <w:t>Rozdzielnica niskiego napięcia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rozwiązaniu stacji zastosowano rozdzielnicę niskiego napięcia typu RNTw produkcji EMITER. 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Wymiary rozdzielnicy RNTw  wynoszą: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Szerokość - </w:t>
        <w:tab/>
        <w:t>1100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Wysokość - </w:t>
        <w:tab/>
        <w:t>2000 mm</w:t>
      </w:r>
    </w:p>
    <w:p>
      <w:pPr>
        <w:pStyle w:val="Normal"/>
        <w:spacing w:before="0" w:after="0"/>
        <w:rPr>
          <w:highlight w:val="none"/>
          <w:shd w:fill="auto" w:val="clear"/>
        </w:rPr>
      </w:pPr>
      <w:r>
        <w:rPr>
          <w:shd w:fill="auto" w:val="clear"/>
        </w:rPr>
        <w:t xml:space="preserve">- Głębokość - </w:t>
        <w:tab/>
        <w:t>400 mm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W rozdzielnicy RNTw, jako aparat główny zastosowano rozłącznik 1600A 3P.</w:t>
      </w:r>
    </w:p>
    <w:p>
      <w:pPr>
        <w:pStyle w:val="Normal"/>
        <w:spacing w:before="0" w:after="0"/>
        <w:ind w:hanging="0"/>
        <w:rPr>
          <w:highlight w:val="none"/>
          <w:shd w:fill="auto" w:val="clear"/>
        </w:rPr>
      </w:pPr>
      <w:r>
        <w:rPr>
          <w:shd w:fill="auto" w:val="clear"/>
        </w:rPr>
        <w:t>Rozdzielnica wyposażona jest na odpływach w:</w:t>
      </w:r>
    </w:p>
    <w:p>
      <w:pPr>
        <w:pStyle w:val="ListParagraph"/>
        <w:numPr>
          <w:ilvl w:val="0"/>
          <w:numId w:val="8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10 x rozłącznik bezpiecznikowy listwowy NH-3.</w:t>
      </w:r>
    </w:p>
    <w:p>
      <w:pPr>
        <w:pStyle w:val="ListParagraph"/>
        <w:spacing w:before="0" w:after="0"/>
        <w:ind w:hanging="0" w:left="720"/>
        <w:contextualSpacing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spacing w:before="0" w:after="0"/>
        <w:ind w:hanging="0" w:left="360"/>
        <w:rPr>
          <w:highlight w:val="none"/>
          <w:shd w:fill="auto" w:val="clear"/>
        </w:rPr>
      </w:pPr>
      <w:r>
        <w:rPr>
          <w:shd w:fill="auto" w:val="clear"/>
        </w:rPr>
        <w:t>W rozdzielnicy zastosowano most szynowy do 1600A.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Połączenie rozdzielnicy z transformatorem wykonano kablami 3x(</w:t>
      </w:r>
      <w:r>
        <w:rPr>
          <w:color w:val="000000"/>
          <w:shd w:fill="auto" w:val="clear"/>
        </w:rPr>
        <w:t>2xYKY 1x240</w:t>
      </w:r>
      <w:r>
        <w:rPr>
          <w:shd w:fill="auto" w:val="clear"/>
        </w:rPr>
        <w:t xml:space="preserve">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). Rozdzielnica w wykonaniu standardowym przystosowana jest do pracy w układzie  IT.</w:t>
      </w:r>
    </w:p>
    <w:p>
      <w:pPr>
        <w:pStyle w:val="Normal"/>
        <w:tabs>
          <w:tab w:val="clear" w:pos="708"/>
          <w:tab w:val="right" w:pos="6804" w:leader="none"/>
          <w:tab w:val="left" w:pos="6946" w:leader="none"/>
        </w:tabs>
        <w:ind w:hanging="0"/>
        <w:rPr>
          <w:highlight w:val="none"/>
          <w:shd w:fill="auto" w:val="clear"/>
        </w:rPr>
      </w:pPr>
      <w:r>
        <w:rPr>
          <w:b/>
          <w:shd w:fill="auto" w:val="clear"/>
        </w:rPr>
        <w:t>Parametry rozdzielnicy:</w:t>
      </w:r>
    </w:p>
    <w:tbl>
      <w:tblPr>
        <w:tblW w:w="7479" w:type="dxa"/>
        <w:jc w:val="center"/>
        <w:tblInd w:w="0" w:type="dxa"/>
        <w:tblLayout w:type="fixed"/>
        <w:tblCellMar>
          <w:top w:w="0" w:type="dxa"/>
          <w:left w:w="30" w:type="dxa"/>
          <w:bottom w:w="0" w:type="dxa"/>
          <w:right w:w="70" w:type="dxa"/>
        </w:tblCellMar>
        <w:tblLook w:firstRow="0" w:noVBand="0" w:lastRow="0" w:firstColumn="0" w:lastColumn="0" w:noHBand="0" w:val="0000"/>
      </w:tblPr>
      <w:tblGrid>
        <w:gridCol w:w="5316"/>
        <w:gridCol w:w="2162"/>
      </w:tblGrid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szyn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1600 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ciągły pól odpływowych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400 A</w:t>
            </w:r>
          </w:p>
        </w:tc>
      </w:tr>
      <w:tr>
        <w:trPr>
          <w:trHeight w:val="522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krótkotrwały wytrzymywany (I</w:t>
            </w:r>
            <w:r>
              <w:rPr>
                <w:shd w:fill="auto" w:val="clear"/>
                <w:vertAlign w:val="subscript"/>
              </w:rPr>
              <w:t>cw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25 kA; 1s</w:t>
            </w:r>
          </w:p>
        </w:tc>
      </w:tr>
      <w:tr>
        <w:trPr>
          <w:trHeight w:val="374" w:hRule="atLeast"/>
        </w:trPr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Prąd znamionowy szczytowy wytrzymywany (I</w:t>
            </w:r>
            <w:r>
              <w:rPr>
                <w:shd w:fill="auto" w:val="clear"/>
                <w:vertAlign w:val="subscript"/>
              </w:rPr>
              <w:t>pk</w:t>
            </w:r>
            <w:r>
              <w:rPr>
                <w:shd w:fill="auto" w:val="clear"/>
              </w:rPr>
              <w:t>) szyn zbiorczych głównych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63 kA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działanie łuku wewnętrznego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ormal"/>
              <w:spacing w:lineRule="auto" w:line="276" w:before="120" w:after="120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20 kA; 0,5s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Częstotliwość znamionowa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50 Hz</w:t>
            </w:r>
          </w:p>
        </w:tc>
      </w:tr>
      <w:tr>
        <w:trPr/>
        <w:tc>
          <w:tcPr>
            <w:tcW w:w="5316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Odporność na uderzenia mechaniczne</w:t>
            </w:r>
          </w:p>
        </w:tc>
        <w:tc>
          <w:tcPr>
            <w:tcW w:w="216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color="auto" w:fill="auto" w:val="clear"/>
          </w:tcPr>
          <w:p>
            <w:pPr>
              <w:pStyle w:val="Nagwek1"/>
              <w:spacing w:lineRule="auto" w:line="276"/>
              <w:ind w:hanging="0"/>
              <w:jc w:val="center"/>
              <w:rPr>
                <w:highlight w:val="none"/>
                <w:shd w:fill="auto" w:val="clear"/>
              </w:rPr>
            </w:pPr>
            <w:r>
              <w:rPr>
                <w:shd w:fill="auto" w:val="clear"/>
              </w:rPr>
              <w:t>IK10</w:t>
            </w:r>
          </w:p>
        </w:tc>
      </w:tr>
    </w:tbl>
    <w:p>
      <w:pPr>
        <w:pStyle w:val="BodyText"/>
        <w:spacing w:lineRule="auto" w:line="276"/>
        <w:ind w:hanging="0"/>
        <w:jc w:val="left"/>
        <w:rPr>
          <w:b/>
          <w:highlight w:val="none"/>
          <w:shd w:fill="auto" w:val="clear"/>
        </w:rPr>
      </w:pPr>
      <w:r>
        <w:rPr>
          <w:b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1" w:name="_Toc95894906"/>
      <w:bookmarkStart w:id="32" w:name="_Toc98235877"/>
      <w:bookmarkEnd w:id="31"/>
      <w:bookmarkEnd w:id="32"/>
      <w:r>
        <w:rPr>
          <w:shd w:fill="auto" w:val="clear"/>
        </w:rPr>
        <w:t>Komora transformatora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W stacji przewiduje się montaż transformatora w wykonaniu fabrycznym o mocy </w:t>
        <w:br/>
        <w:t xml:space="preserve">do 1000 kVA. Transformator jest wstawiany przez drzwi lub dach i zabezpieczony </w:t>
        <w:br/>
        <w:t xml:space="preserve">przed przesuwaniem </w:t>
      </w:r>
      <w:r>
        <w:rPr>
          <w:rFonts w:eastAsia="Symbol" w:cs="Symbol"/>
          <w:shd w:fill="auto" w:val="clear"/>
        </w:rPr>
        <w:t>poprzez podkładki wibroizolacyjne</w:t>
      </w:r>
      <w:r>
        <w:rPr>
          <w:shd w:fill="auto" w:val="clear"/>
        </w:rPr>
        <w:t>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Komora transformatora oddzielona jest od pomieszczenia ruchu elektrycznego (wspólny korytarz obsługi rozdzielnicy nN i SN) </w:t>
      </w:r>
      <w:r>
        <w:rPr>
          <w:color w:val="000000"/>
          <w:shd w:fill="auto" w:val="clear"/>
        </w:rPr>
        <w:t>ścianką z blachy perforowanej</w:t>
      </w:r>
      <w:r>
        <w:rPr>
          <w:shd w:fill="auto" w:val="clear"/>
        </w:rPr>
        <w:t xml:space="preserve">. Posadzka w komorze transformatorowej posiada otwór, przez który w razie wycieku oleju z transformatora </w:t>
        <w:br/>
        <w:t>(w przypadku stosowania transformatora olejowego) spływa on do szczelnej misy olejowej stanowiącej wydzieloną część fundamentu (kablowni)</w:t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ormal"/>
        <w:rPr>
          <w:sz w:val="20"/>
          <w:szCs w:val="20"/>
          <w:highlight w:val="none"/>
          <w:shd w:fill="auto" w:val="clear"/>
        </w:rPr>
      </w:pPr>
      <w:r>
        <w:rPr>
          <w:sz w:val="20"/>
          <w:szCs w:val="20"/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3" w:name="_Toc98235878"/>
      <w:bookmarkEnd w:id="33"/>
      <w:r>
        <w:rPr>
          <w:shd w:fill="auto" w:val="clear"/>
        </w:rPr>
        <w:t>Instalacje elektryczne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Oświetlenie pomieszczeń stacji wykonane jest źródłami: 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kanałowa okrągła  z gwintem E27 (w komorze transformatora).</w:t>
      </w:r>
    </w:p>
    <w:p>
      <w:pPr>
        <w:pStyle w:val="ListParagraph"/>
        <w:numPr>
          <w:ilvl w:val="0"/>
          <w:numId w:val="8"/>
        </w:numPr>
        <w:rPr>
          <w:highlight w:val="none"/>
          <w:shd w:fill="auto" w:val="clear"/>
        </w:rPr>
      </w:pPr>
      <w:r>
        <w:rPr>
          <w:shd w:fill="auto" w:val="clear"/>
        </w:rPr>
        <w:t>1 x oprawa pyłoszczelna 2x36W (w przedziale obsługi wewnętrznej).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Oświetlenie stacji załączane i wyłączane jest poprzez łączniki umieszczone przy drzwiach.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Gniazdo jednofazowe zainstalowane jest obok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Zabezpieczenia obwodów potrzeb własnych stacji zainstalowane są w rozdzielnicy nN.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Oprawy oświetleniowe zasilane są przewodami DY 3x1,5 mm2.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4" w:name="_Toc98235879"/>
      <w:bookmarkEnd w:id="34"/>
      <w:r>
        <w:rPr>
          <w:shd w:fill="auto" w:val="clear"/>
        </w:rPr>
        <w:t>Uziemienie stacji transformatorowej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 xml:space="preserve">Stacja posiada uziemienie ochronne i robocze podłączone do wspólnego uziomu </w:t>
        <w:br/>
        <w:t>na zewnątrz stacji. Główna magistrala uziemiająca wewnątrz stacji składa się z części poziomej wykonanej z płaskownika ocynkowanego Fe/Zn 40x5 wewnątrz stacji.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stacji do głównej magistrali podłączono: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SN w dwóch punktach – linką minimum 50 [mm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] lub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Rozdzielnicę nN w dwóch punktach -  bednarką Fe/Zn 40x5 [mm].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Kadź transformatora – linką minimum 35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Dach stacji w dwóch punktach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Futryny, drzwi – linką minimum 25 mm</w:t>
      </w:r>
      <w:r>
        <w:rPr>
          <w:shd w:fill="auto" w:val="clear"/>
          <w:vertAlign w:val="superscript"/>
        </w:rPr>
        <w:t>2</w:t>
      </w:r>
      <w:r>
        <w:rPr>
          <w:shd w:fill="auto" w:val="clear"/>
        </w:rPr>
        <w:t>.</w:t>
      </w:r>
    </w:p>
    <w:p>
      <w:pPr>
        <w:pStyle w:val="ListParagraph"/>
        <w:numPr>
          <w:ilvl w:val="0"/>
          <w:numId w:val="5"/>
        </w:numPr>
        <w:rPr>
          <w:highlight w:val="none"/>
          <w:shd w:fill="auto" w:val="clear"/>
        </w:rPr>
      </w:pPr>
      <w:r>
        <w:rPr>
          <w:shd w:fill="auto" w:val="clear"/>
        </w:rPr>
        <w:t>Uziemienie funkcjonalne -  bednarką Fe/Zn 40x5 [mm].</w:t>
      </w:r>
    </w:p>
    <w:p>
      <w:pPr>
        <w:pStyle w:val="Normal"/>
        <w:rPr>
          <w:szCs w:val="24"/>
          <w:highlight w:val="none"/>
          <w:shd w:fill="auto" w:val="clear"/>
          <w:lang w:eastAsia="pl-PL"/>
        </w:rPr>
      </w:pPr>
      <w:r>
        <w:rPr>
          <w:szCs w:val="24"/>
          <w:shd w:fill="auto" w:val="clear"/>
          <w:lang w:eastAsia="pl-PL"/>
        </w:rPr>
      </w:r>
    </w:p>
    <w:p>
      <w:pPr>
        <w:pStyle w:val="Normal"/>
        <w:rPr>
          <w:highlight w:val="none"/>
          <w:shd w:fill="auto" w:val="clear"/>
        </w:rPr>
      </w:pPr>
      <w:r>
        <w:rPr>
          <w:szCs w:val="24"/>
          <w:shd w:fill="auto" w:val="clear"/>
          <w:lang w:eastAsia="pl-PL"/>
        </w:rPr>
        <w:t xml:space="preserve">Do głównej magistrali należy dołączyć przez zaciski kontrolne śrubowe wyprowadzenia uziemienia zewnętrznego doprowadzonego do magistrali przez otwory technologiczne umieszczone w fundamencie stacji. Wyprowadzenie N z transformatora należy dołączyć </w:t>
        <w:br/>
        <w:t xml:space="preserve">do osobnego wyprowadzenia uziemienia zewnętrznego.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 xml:space="preserve">Po połączeniu uziomu z instalacją uziemiającą stacji należy wykonać pomiar rezystancji uziemienia. 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Niniejszy projekt nie obejmuje uziemienia zewnętrznego stacji transformatorowej.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r>
        <w:rPr>
          <w:shd w:fill="auto" w:val="clear"/>
        </w:rPr>
        <w:t xml:space="preserve"> </w:t>
      </w:r>
      <w:r>
        <w:rPr>
          <w:shd w:fill="auto" w:val="clear"/>
        </w:rPr>
        <w:t>Ochrona przed przepięciami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ab/>
        <w:t>Obudowa stacji nie będzie chroniona od bezpośrednich wyładowań atmosferycznych.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W przypadku pracy stacji w sieci kablowej ochrona przepięciowa urządzeń elektroenergetycznych. w większości przypadków nie jest wymagana.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  <w:t>Ograniczniki przepięć SN należy zabudować w każdym polu liniowym</w:t>
        <w:br/>
        <w:t>połączonym z linią napowietrzną przez kabel o długości mniejszej niż 2 km.</w:t>
        <w:br/>
        <w:t>Dopuszcza się nieinstalowanie ograniczników przepięć w stacjach połączonych</w:t>
        <w:br/>
        <w:t>z linią napowietrzną kablem krótszym niż 2 km ale nie krótszym niż 0,5 km jeżeli</w:t>
        <w:br/>
        <w:t>nie są one stacjami końcowymi.</w:t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21"/>
        <w:numPr>
          <w:ilvl w:val="1"/>
          <w:numId w:val="3"/>
        </w:numPr>
        <w:ind w:firstLine="425" w:left="993"/>
        <w:rPr>
          <w:highlight w:val="none"/>
          <w:shd w:fill="auto" w:val="clear"/>
        </w:rPr>
      </w:pPr>
      <w:bookmarkStart w:id="35" w:name="_Toc98235881"/>
      <w:bookmarkEnd w:id="35"/>
      <w:r>
        <w:rPr>
          <w:shd w:fill="auto" w:val="clear"/>
        </w:rPr>
        <w:t xml:space="preserve">  </w:t>
      </w:r>
      <w:r>
        <w:rPr>
          <w:shd w:fill="auto" w:val="clear"/>
        </w:rPr>
        <w:t>Obsługa stacji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Obsługa urządzeń rozdzielni średniego i niskiego napięcia odbywać się będzie wewnątrz stacji ze wspólnego korytarza obsługi. W drzwiach do komory transformatora zastosowano drewniane barierki ochronne.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agwek11"/>
        <w:numPr>
          <w:ilvl w:val="0"/>
          <w:numId w:val="3"/>
        </w:numPr>
        <w:rPr/>
      </w:pPr>
      <w:bookmarkStart w:id="36" w:name="_Toc109201588"/>
      <w:bookmarkStart w:id="37" w:name="_Toc98235882"/>
      <w:bookmarkEnd w:id="37"/>
      <w:r>
        <w:rPr>
          <w:rStyle w:val="Strong"/>
          <w:b/>
          <w:shd w:fill="auto" w:val="clear"/>
        </w:rPr>
        <w:t>Uwagi końcowe:</w:t>
      </w:r>
      <w:bookmarkEnd w:id="36"/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  <w:t>Całość prac wykonać zgodnie z przepisami i normami obowiązującymi w Energetyce. Wszelkie uwagi o zachowaniu się stacji kierować na adres producenta.</w:t>
      </w:r>
    </w:p>
    <w:p>
      <w:pPr>
        <w:pStyle w:val="Normal"/>
        <w:spacing w:lineRule="auto" w:line="360"/>
        <w:rPr>
          <w:highlight w:val="none"/>
          <w:shd w:fill="auto" w:val="clear"/>
        </w:rPr>
      </w:pPr>
      <w:r>
        <w:rPr>
          <w:rFonts w:eastAsia="Symbol" w:cs="Symbol"/>
          <w:b/>
          <w:shd w:fill="auto" w:val="clear"/>
        </w:rPr>
        <w:t>Niniejszy projekt podlega adaptacji do warunków terenowych i technicznych.</w:t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Normal"/>
        <w:ind w:hanging="0"/>
        <w:rPr>
          <w:highlight w:val="none"/>
          <w:shd w:fill="auto" w:val="clear"/>
        </w:rPr>
      </w:pPr>
      <w:r>
        <w:rPr>
          <w:shd w:fill="auto" w:val="clear"/>
        </w:rPr>
      </w:r>
    </w:p>
    <w:p>
      <w:pPr>
        <w:pStyle w:val="BodyText"/>
        <w:jc w:val="center"/>
        <w:rPr/>
      </w:pPr>
      <w:r>
        <w:rPr>
          <w:b/>
          <w:bCs/>
          <w:shd w:fill="auto" w:val="clear"/>
          <w:lang w:val="en-US"/>
        </w:rPr>
        <w:t xml:space="preserve">EMITER </w:t>
      </w:r>
      <w:r>
        <w:rPr>
          <w:rStyle w:val="czeinternetoweuser"/>
          <w:b/>
          <w:bCs/>
          <w:vanish/>
          <w:shd w:fill="auto" w:val="clear"/>
          <w:lang w:val="en-US"/>
        </w:rPr>
        <w:t>wwww</w:t>
      </w:r>
    </w:p>
    <w:p>
      <w:pPr>
        <w:pStyle w:val="BodyText"/>
        <w:jc w:val="center"/>
        <w:rPr/>
      </w:pPr>
      <w:hyperlink r:id="rId3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w</w:t>
        </w:r>
      </w:hyperlink>
      <w:r>
        <w:rPr>
          <w:rStyle w:val="czeinternetoweuser"/>
          <w:b/>
          <w:bCs/>
          <w:shd w:fill="auto" w:val="clear"/>
          <w:lang w:val="en-US"/>
        </w:rPr>
        <w:t>www.emiter.com</w:t>
      </w:r>
      <w:r>
        <w:rPr>
          <w:b/>
          <w:bCs/>
          <w:shd w:fill="auto" w:val="clear"/>
          <w:lang w:val="en-US"/>
        </w:rPr>
        <w:t xml:space="preserve">  ,  e-mail:   </w:t>
      </w:r>
      <w:hyperlink r:id="rId4">
        <w:r>
          <w:rPr>
            <w:rStyle w:val="Style9"/>
            <w:b/>
            <w:bCs/>
            <w:vanish/>
            <w:color w:themeColor="hyperlink" w:val="0563C1"/>
            <w:u w:val="single"/>
            <w:shd w:fill="auto" w:val="clear"/>
            <w:lang w:val="en-US"/>
          </w:rPr>
          <w:t>kontenerowe@emiter.com</w:t>
        </w:r>
      </w:hyperlink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38" w:name="_Toc109201589"/>
      <w:bookmarkStart w:id="39" w:name="_Toc98235883"/>
      <w:bookmarkEnd w:id="39"/>
      <w:r>
        <w:rPr>
          <w:shd w:fill="auto" w:val="clear"/>
        </w:rPr>
        <w:t>Normy i inne dokumenty związane</w:t>
      </w:r>
      <w:bookmarkEnd w:id="38"/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1992-1-1:2008. Konstrukcje betonowe, żelbetowe i sprężone - Obliczenia statyczne i projektowanie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0" w:name="_Ref531700092"/>
      <w:bookmarkEnd w:id="40"/>
      <w:r>
        <w:rPr>
          <w:shd w:fill="auto" w:val="clear"/>
        </w:rPr>
        <w:t>PN-EN 1997-1:2008 - wersja polska. Grunty budowlane - Posadowienie bezpośrednie budowli - Obliczenia statyczne i projektowanie.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bookmarkStart w:id="41" w:name="_Ref531765692"/>
      <w:bookmarkEnd w:id="41"/>
      <w:r>
        <w:rPr>
          <w:shd w:fill="auto" w:val="clear"/>
        </w:rPr>
        <w:t>Rozporządzenie Ministra Gospodarki z dnia 20 września 2000 r. w sprawie warunków technicznych, jakim powinny odpowiadać bazy i stacje paliw płynnych, rurociągi dalekosiężne do transportu ropy naftowej i produktów naftowych i ich usytuowanie (Dz. U. Nr 98 póz. 1067 z dnia 17 listopada 2000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Gospodarki z dnia 20 grudnia 2002 r. zmieniające rozporządzenie w sprawie warunków technicznych, jakim powinny odpowiadać bazy i stacje paliw płynnych, rurociągi dalekosiężne do transportu ropy naftowej i produktów naftowych i ich usytuowanie (Dz. U. Nr I poz.8 z dnia 8 stycznia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PN-B-02852:2001. Ochrona przeciwpożarowa budynków. Obliczanie gęstości obciążenia ogniowego oraz wyznaczanie względnego czasu trwania pożaru\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12 kwietnia 2002 r. w sprawie warunków technicznych, jakim powinny odpowiadać budynki i ich usytuowanie. (Dz. U. Nr 75 póz. 690 z dnia 15 czerwca 2002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13 lutego 2003 r. zmieniające rozporządzenie w sprawie warunków technicznych, jakim powinny odpowiadać budynki i ich usytuowanie. (Dz. U. Nr 33 poz.270 z dnia 26 lutego 2003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Rozporządzenie Ministra Infrastruktury z dnia 7 kwietnia 2004 r. zmieniające rozporządzenie w sprawie warunków technicznych, jakim powinny odpowiadać budynki i ich usytuowanie. (Dz. U. Nr 109 poz.1156 z dnia 12 maja 2004 r.)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206:2014-04 Beton. Część 1: Wymagania, właściwości, produkcja i zgodność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1990:2004 - Eurokod -- Podstawy projektowania konstrukcji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1991-1-3:2005 - Eurokod 1 -- Oddziaływania na konstrukcje -- Część 1-3: Oddziaływania ogólne -- Obciążenie śniegiem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1991-1-4:2008 - Eurokod 1: Oddziaływania na konstrukcje -- Część 1-4: Oddziaływania ogólne -- Oddziaływania wiatru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1991-1-1:2004 - Eurokod 1: Oddziaływania na konstrukcje -- Część 1-1: Oddziaływania ogólne -- Ciężar objętościowy, ciężar własny, obciążenia użytkowe w budynkach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62271-202:2010 - Wysokonapięciowa aparatura rozdzielcza i sterownicza -- Część 202: Stacje transformatorowe prefabrykowane wysokiego napięcia na niskie napięcie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62271-1: 2009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1: Postanowienia wspólne”;</w:t>
      </w:r>
    </w:p>
    <w:p>
      <w:pPr>
        <w:pStyle w:val="ListParagraph"/>
        <w:numPr>
          <w:ilvl w:val="0"/>
          <w:numId w:val="4"/>
        </w:numPr>
        <w:spacing w:lineRule="auto" w:line="240"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62271-200:2012 „Wysokonapięciowa aparatura rozdzielcza i sterownicza.</w:t>
      </w:r>
    </w:p>
    <w:p>
      <w:pPr>
        <w:pStyle w:val="Normal"/>
        <w:spacing w:lineRule="auto" w:line="240" w:before="0" w:after="0"/>
        <w:ind w:firstLine="348" w:left="360"/>
        <w:rPr>
          <w:highlight w:val="none"/>
          <w:shd w:fill="auto" w:val="clear"/>
        </w:rPr>
      </w:pPr>
      <w:r>
        <w:rPr>
          <w:shd w:fill="auto" w:val="clear"/>
        </w:rPr>
        <w:t>Część 200: Rozdzielnice prądu przemiennego w osłonach metalowych na napięcie</w:t>
      </w:r>
    </w:p>
    <w:p>
      <w:pPr>
        <w:pStyle w:val="Normal"/>
        <w:spacing w:lineRule="auto" w:line="240" w:before="0" w:after="0"/>
        <w:ind w:firstLine="708"/>
        <w:rPr>
          <w:highlight w:val="none"/>
          <w:shd w:fill="auto" w:val="clear"/>
        </w:rPr>
      </w:pPr>
      <w:r>
        <w:rPr>
          <w:shd w:fill="auto" w:val="clear"/>
        </w:rPr>
        <w:t>znamionowe powyżej 1kV do 52kV włącznie”;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62271-202:2014-12„Wysokonapięciowa aparatura rozdzielcza i sterownicza -- Część 202: Stacje transformatorowe prefabrykowane wysokiego napięcia na niskie napięcie”;</w:t>
      </w:r>
    </w:p>
    <w:p>
      <w:pPr>
        <w:pStyle w:val="ListParagraph"/>
        <w:numPr>
          <w:ilvl w:val="0"/>
          <w:numId w:val="4"/>
        </w:numPr>
        <w:spacing w:before="0" w:after="0"/>
        <w:contextualSpacing/>
        <w:rPr>
          <w:highlight w:val="none"/>
          <w:shd w:fill="auto" w:val="clear"/>
        </w:rPr>
      </w:pPr>
      <w:r>
        <w:rPr>
          <w:shd w:fill="auto" w:val="clear"/>
        </w:rPr>
        <w:t>PN-EN 60529:2003  „ Stopnie ochrony zapewnianej przez obudowy (kod IP) ”;</w:t>
      </w:r>
    </w:p>
    <w:p>
      <w:pPr>
        <w:pStyle w:val="Nagwek11"/>
        <w:numPr>
          <w:ilvl w:val="0"/>
          <w:numId w:val="3"/>
        </w:numPr>
        <w:rPr>
          <w:highlight w:val="none"/>
          <w:shd w:fill="auto" w:val="clear"/>
        </w:rPr>
      </w:pPr>
      <w:bookmarkStart w:id="42" w:name="_Toc109201590"/>
      <w:bookmarkStart w:id="43" w:name="_Toc98235884"/>
      <w:bookmarkEnd w:id="43"/>
      <w:r>
        <w:rPr>
          <w:shd w:fill="auto" w:val="clear"/>
        </w:rPr>
        <w:t>Spis rysunków:</w:t>
      </w:r>
      <w:bookmarkEnd w:id="42"/>
    </w:p>
    <w:p>
      <w:pPr>
        <w:pStyle w:val="Nagwek31"/>
        <w:keepLines w:val="false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080" w:left="1080"/>
        <w:jc w:val="left"/>
        <w:rPr>
          <w:b/>
          <w:bCs w:val="false"/>
          <w:highlight w:val="none"/>
          <w:shd w:fill="auto" w:val="clear"/>
        </w:rPr>
      </w:pPr>
      <w:r>
        <w:rPr>
          <w:b/>
          <w:bCs w:val="false"/>
          <w:shd w:fill="auto" w:val="clear"/>
        </w:rPr>
      </w:r>
    </w:p>
    <w:p>
      <w:pPr>
        <w:pStyle w:val="Nagwek31"/>
        <w:keepLines w:val="false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4" w:name="_Toc109201591"/>
      <w:bookmarkStart w:id="45" w:name="_Toc98235885"/>
      <w:bookmarkStart w:id="46" w:name="_Ref63489894"/>
      <w:bookmarkEnd w:id="45"/>
      <w:bookmarkEnd w:id="46"/>
      <w:r>
        <w:rPr>
          <w:rStyle w:val="Strong"/>
          <w:rFonts w:eastAsia="Symbol" w:cs="Symbol"/>
          <w:b w:val="false"/>
          <w:bCs w:val="false"/>
          <w:shd w:fill="auto" w:val="clear"/>
        </w:rPr>
        <w:t>Widok z góry, rozmieszczenie urządzeń</w:t>
      </w:r>
      <w:bookmarkEnd w:id="44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283" w:left="567"/>
        <w:jc w:val="left"/>
        <w:rPr/>
      </w:pPr>
      <w:bookmarkStart w:id="47" w:name="_Toc109201592"/>
      <w:r>
        <w:rPr>
          <w:rStyle w:val="Strong"/>
          <w:rFonts w:eastAsia="Symbol" w:cs="Symbol"/>
          <w:b w:val="false"/>
          <w:bCs w:val="false"/>
          <w:shd w:fill="auto" w:val="clear"/>
        </w:rPr>
        <w:t>Widoki elewacji "A", "B", "C", "D"</w:t>
      </w:r>
      <w:bookmarkEnd w:id="47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8" w:name="_Toc109201594"/>
      <w:bookmarkEnd w:id="48"/>
      <w:r>
        <w:rPr>
          <w:rStyle w:val="Strong"/>
          <w:rFonts w:eastAsia="Symbol" w:cs="Symbol"/>
          <w:b w:val="false"/>
          <w:bCs w:val="false"/>
          <w:shd w:fill="auto" w:val="clear"/>
        </w:rPr>
        <w:t>Piwnica kablowa.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bookmarkStart w:id="49" w:name="_Toc109201594"/>
      <w:bookmarkStart w:id="50" w:name="_Toc109201595"/>
      <w:bookmarkEnd w:id="49"/>
      <w:r>
        <w:rPr>
          <w:rStyle w:val="Strong"/>
          <w:rFonts w:eastAsia="Symbol" w:cs="Symbol"/>
          <w:b w:val="false"/>
          <w:bCs w:val="false"/>
          <w:shd w:fill="auto" w:val="clear"/>
        </w:rPr>
        <w:t xml:space="preserve"> </w:t>
      </w:r>
      <w:bookmarkStart w:id="51" w:name="_Toc109201597"/>
      <w:bookmarkEnd w:id="50"/>
      <w:r>
        <w:rPr>
          <w:rStyle w:val="Strong"/>
          <w:rFonts w:eastAsia="Symbol" w:cs="Symbol"/>
          <w:b w:val="false"/>
          <w:bCs w:val="false"/>
          <w:shd w:fill="auto" w:val="clear"/>
        </w:rPr>
        <w:t>Dach</w:t>
      </w:r>
      <w:bookmarkEnd w:id="51"/>
      <w:r>
        <w:rPr>
          <w:rStyle w:val="Strong"/>
          <w:rFonts w:eastAsia="Symbol" w:cs="Symbol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 w zależności od rodzaju gruntu.</w:t>
      </w:r>
    </w:p>
    <w:p>
      <w:pPr>
        <w:pStyle w:val="Nagwek31"/>
        <w:numPr>
          <w:ilvl w:val="2"/>
          <w:numId w:val="7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1531" w:left="1814"/>
        <w:jc w:val="left"/>
        <w:rPr/>
      </w:pPr>
      <w:r>
        <w:rPr>
          <w:rStyle w:val="Strong"/>
          <w:rFonts w:eastAsia="Symbol" w:cs="Symbol"/>
          <w:b w:val="false"/>
          <w:bCs w:val="false"/>
          <w:shd w:fill="auto" w:val="clear"/>
        </w:rPr>
        <w:t>Posadowienie stacji.</w:t>
      </w:r>
    </w:p>
    <w:p>
      <w:pPr>
        <w:pStyle w:val="Nagwek31"/>
        <w:numPr>
          <w:ilvl w:val="0"/>
          <w:numId w:val="0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hanging="0" w:left="1080"/>
        <w:jc w:val="left"/>
        <w:rPr>
          <w:rFonts w:eastAsia="Symbol" w:cs="Symbol"/>
          <w:b w:val="false"/>
          <w:bCs w:val="false"/>
          <w:highlight w:val="none"/>
          <w:shd w:fill="auto" w:val="clear"/>
        </w:rPr>
      </w:pPr>
      <w:r>
        <w:rPr>
          <w:rFonts w:eastAsia="Symbol" w:cs="Symbol"/>
          <w:b w:val="false"/>
          <w:bCs w:val="false"/>
          <w:shd w:fill="auto" w:val="clear"/>
        </w:rPr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2" w:name="_Toc109201598"/>
      <w:r>
        <w:rPr>
          <w:rStyle w:val="Strong"/>
          <w:b w:val="false"/>
          <w:bCs w:val="false"/>
          <w:shd w:fill="auto" w:val="clear"/>
        </w:rPr>
        <w:t>Schemat elektryczny</w:t>
      </w:r>
      <w:bookmarkEnd w:id="52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bookmarkStart w:id="53" w:name="_Toc109201599"/>
      <w:r>
        <w:rPr>
          <w:rStyle w:val="Strong"/>
          <w:b w:val="false"/>
          <w:bCs w:val="false"/>
          <w:shd w:fill="auto" w:val="clear"/>
        </w:rPr>
        <w:t>Rozdzielnica SN</w:t>
      </w:r>
      <w:bookmarkEnd w:id="53"/>
      <w:r>
        <w:rPr>
          <w:rStyle w:val="Strong"/>
          <w:b w:val="false"/>
          <w:bCs w:val="false"/>
          <w:shd w:fill="auto" w:val="clear"/>
        </w:rPr>
        <w:t>.</w:t>
      </w:r>
    </w:p>
    <w:p>
      <w:pPr>
        <w:pStyle w:val="Nagwek31"/>
        <w:numPr>
          <w:ilvl w:val="2"/>
          <w:numId w:val="2"/>
        </w:numPr>
        <w:ind w:hanging="850" w:left="1077"/>
        <w:rPr/>
      </w:pPr>
      <w:r>
        <w:rPr>
          <w:rStyle w:val="Strong"/>
          <w:b w:val="false"/>
          <w:bCs w:val="false"/>
          <w:shd w:fill="auto" w:val="clear"/>
        </w:rPr>
        <w:t>Rozdzielnica nN.</w:t>
      </w:r>
    </w:p>
    <w:p>
      <w:pPr>
        <w:pStyle w:val="Nagwek31"/>
        <w:numPr>
          <w:ilvl w:val="0"/>
          <w:numId w:val="2"/>
        </w:numPr>
        <w:tabs>
          <w:tab w:val="clear" w:pos="708"/>
          <w:tab w:val="left" w:pos="1985" w:leader="none"/>
        </w:tabs>
        <w:suppressAutoHyphens w:val="true"/>
        <w:spacing w:lineRule="auto" w:line="312" w:before="120" w:after="0"/>
        <w:ind w:firstLine="170" w:left="283"/>
        <w:jc w:val="left"/>
        <w:rPr>
          <w:highlight w:val="none"/>
          <w:shd w:fill="auto" w:val="clear"/>
        </w:rPr>
      </w:pPr>
      <w:r>
        <w:rPr>
          <w:shd w:fill="auto" w:val="clear"/>
        </w:rPr>
      </w:r>
    </w:p>
    <w:sectPr>
      <w:headerReference w:type="even" r:id="rId5"/>
      <w:headerReference w:type="default" r:id="rId6"/>
      <w:headerReference w:type="first" r:id="rId7"/>
      <w:footerReference w:type="even" r:id="rId8"/>
      <w:footerReference w:type="default" r:id="rId9"/>
      <w:footerReference w:type="first" r:id="rId10"/>
      <w:type w:val="nextPage"/>
      <w:pgSz w:w="11906" w:h="16838"/>
      <w:pgMar w:left="1418" w:right="1134" w:gutter="0" w:header="709" w:top="1247" w:footer="794" w:bottom="1304"/>
      <w:pgNumType w:start="1" w:fmt="decimal"/>
      <w:formProt w:val="false"/>
      <w:titlePg/>
      <w:textDirection w:val="lrTb"/>
      <w:docGrid w:type="default" w:linePitch="360" w:charSpace="429496094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Segoe UI">
    <w:charset w:val="ee"/>
    <w:family w:val="swiss"/>
    <w:pitch w:val="variable"/>
  </w:font>
  <w:font w:name="Verdana">
    <w:charset w:val="ee"/>
    <w:family w:val="swiss"/>
    <w:pitch w:val="variable"/>
  </w:font>
  <w:font w:name="Calibri Light"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Calibri"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  <w:font w:name="OpenSymbol">
    <w:altName w:val="Arial Unicode MS"/>
    <w:charset w:val="01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opka1"/>
      <w:tabs>
        <w:tab w:val="center" w:pos="4536" w:leader="none"/>
        <w:tab w:val="center" w:pos="5760" w:leader="none"/>
        <w:tab w:val="right" w:pos="9072" w:leader="none"/>
      </w:tabs>
      <w:ind w:hanging="0"/>
      <w:rPr/>
    </w:pPr>
    <w:r>
      <w:rPr>
        <w:rStyle w:val="PageNumber"/>
        <w:rFonts w:cs="Arial" w:ascii="Arial" w:hAnsi="Arial"/>
        <w:sz w:val="22"/>
        <w:u w:val="single"/>
      </w:rPr>
      <w:t xml:space="preserve">Projekt do adaptacji stacji </w:t>
    </w:r>
    <w:r>
      <w:rPr>
        <w:rFonts w:cs="Arial" w:ascii="Arial" w:hAnsi="Arial"/>
        <w:sz w:val="22"/>
        <w:u w:val="single"/>
      </w:rPr>
      <w:t xml:space="preserve">ETSI 25-48 1000 kVA     </w:t>
    </w:r>
    <w:r>
      <w:rPr>
        <w:rStyle w:val="PageNumber"/>
        <w:rFonts w:cs="Arial" w:ascii="Arial" w:hAnsi="Arial"/>
        <w:sz w:val="22"/>
        <w:u w:val="single"/>
      </w:rPr>
      <w:tab/>
      <w:tab/>
    </w: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10</w:t>
    </w:r>
    <w:r>
      <w:rPr/>
      <w:fldChar w:fldCharType="end"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tbl>
    <w:tblPr>
      <w:tblW w:w="9494" w:type="dxa"/>
      <w:jc w:val="left"/>
      <w:tblInd w:w="-40" w:type="dxa"/>
      <w:tblLayout w:type="fixed"/>
      <w:tblCellMar>
        <w:top w:w="0" w:type="dxa"/>
        <w:left w:w="68" w:type="dxa"/>
        <w:bottom w:w="0" w:type="dxa"/>
        <w:right w:w="108" w:type="dxa"/>
      </w:tblCellMar>
      <w:tblLook w:firstRow="1" w:noVBand="0" w:lastRow="1" w:firstColumn="1" w:lastColumn="1" w:noHBand="0" w:val="01e0"/>
    </w:tblPr>
    <w:tblGrid>
      <w:gridCol w:w="3227"/>
      <w:gridCol w:w="2833"/>
      <w:gridCol w:w="3434"/>
    </w:tblGrid>
    <w:tr>
      <w:trPr/>
      <w:tc>
        <w:tcPr>
          <w:tcW w:w="3227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ormal"/>
            <w:tabs>
              <w:tab w:val="clear" w:pos="708"/>
              <w:tab w:val="left" w:pos="5529" w:leader="none"/>
            </w:tabs>
            <w:spacing w:before="120" w:after="120"/>
            <w:ind w:firstLine="709" w:left="142" w:right="176"/>
            <w:rPr/>
          </w:pPr>
          <w:hyperlink r:id="rId1">
            <w:r>
              <w:rPr>
                <w:rStyle w:val="Hyperlink"/>
              </w:rPr>
              <w:drawing>
                <wp:inline distT="0" distB="0" distL="0" distR="0">
                  <wp:extent cx="1057910" cy="343535"/>
                  <wp:effectExtent l="0" t="0" r="0" b="0"/>
                  <wp:docPr id="2" name="Obraz1" descr="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Obraz1" descr="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57910" cy="3435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hyperlink>
        </w:p>
      </w:tc>
      <w:tc>
        <w:tcPr>
          <w:tcW w:w="2833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  <w:vAlign w:val="center"/>
        </w:tcPr>
        <w:p>
          <w:pPr>
            <w:pStyle w:val="Normal"/>
            <w:spacing w:before="120" w:after="120"/>
            <w:ind w:hanging="0"/>
            <w:jc w:val="center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  <w:tc>
        <w:tcPr>
          <w:tcW w:w="3434" w:type="dxa"/>
          <w:tcBorders>
            <w:top w:val="single" w:sz="4" w:space="0" w:color="00000A"/>
            <w:left w:val="single" w:sz="4" w:space="0" w:color="00000A"/>
            <w:bottom w:val="single" w:sz="4" w:space="0" w:color="00000A"/>
            <w:right w:val="single" w:sz="4" w:space="0" w:color="00000A"/>
          </w:tcBorders>
          <w:shd w:color="auto" w:fill="auto" w:val="clear"/>
        </w:tcPr>
        <w:p>
          <w:pPr>
            <w:pStyle w:val="Nagwek1"/>
            <w:spacing w:lineRule="auto" w:line="288" w:before="40" w:after="0"/>
            <w:ind w:hanging="0"/>
            <w:rPr/>
          </w:pPr>
          <w:r>
            <w:rPr>
              <w:rFonts w:cs="Arial" w:ascii="Arial" w:hAnsi="Arial"/>
            </w:rPr>
            <w:t xml:space="preserve">      </w:t>
          </w:r>
          <w:r>
            <w:rPr>
              <w:rFonts w:cs="Arial" w:ascii="Arial" w:hAnsi="Arial"/>
            </w:rPr>
            <w:t xml:space="preserve">ETSI 25-48 1000 kVA </w:t>
          </w:r>
        </w:p>
        <w:p>
          <w:pPr>
            <w:pStyle w:val="Nagwek1"/>
            <w:spacing w:lineRule="auto" w:line="288" w:before="40" w:after="0"/>
            <w:ind w:firstLine="709" w:left="318"/>
            <w:rPr>
              <w:rFonts w:ascii="Arial" w:hAnsi="Arial" w:cs="Arial"/>
            </w:rPr>
          </w:pPr>
          <w:r>
            <w:rPr>
              <w:rFonts w:cs="Arial" w:ascii="Arial" w:hAnsi="Arial"/>
            </w:rPr>
          </w:r>
        </w:p>
      </w:tc>
    </w:tr>
  </w:tbl>
  <w:p>
    <w:pPr>
      <w:pStyle w:val="Nagwek1"/>
      <w:rPr>
        <w:sz w:val="16"/>
        <w:szCs w:val="16"/>
      </w:rPr>
    </w:pPr>
    <w:r>
      <w:rPr>
        <w:sz w:val="16"/>
        <w:szCs w:val="16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keepNext w:val="true"/>
      <w:spacing w:before="240" w:after="120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pStyle w:val="Nagwek1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pStyle w:val="Nagwek3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 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decimal"/>
      <w:lvlText w:val=" Rys. nr E%3."/>
      <w:lvlJc w:val="left"/>
      <w:pPr>
        <w:tabs>
          <w:tab w:val="num" w:pos="1803"/>
        </w:tabs>
        <w:ind w:left="1080" w:hanging="1080"/>
      </w:pPr>
      <w:rPr/>
    </w:lvl>
    <w:lvl w:ilvl="3">
      <w:start w:val="1"/>
      <w:numFmt w:val="decimal"/>
      <w:lvlText w:val="Rys. nr E%3.%4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862" w:firstLine="415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1080"/>
      </w:pPr>
      <w:rPr/>
    </w:lvl>
    <w:lvl w:ilvl="3">
      <w:start w:val="1"/>
      <w:numFmt w:val="decimal"/>
      <w:lvlText w:val="(%4)"/>
      <w:lvlJc w:val="left"/>
      <w:pPr>
        <w:tabs>
          <w:tab w:val="num" w:pos="0"/>
        </w:tabs>
        <w:ind w:left="1440" w:hanging="360"/>
      </w:pPr>
      <w:rPr/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/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/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lvl w:ilvl="0">
      <w:start w:val="3"/>
      <w:numFmt w:val="bullet"/>
      <w:lvlText w:val=""/>
      <w:lvlJc w:val="left"/>
      <w:pPr>
        <w:tabs>
          <w:tab w:val="num" w:pos="0"/>
        </w:tabs>
        <w:ind w:left="5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9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7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4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1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8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5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3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decimal"/>
      <w:lvlText w:val="Rys. nr B%1"/>
      <w:lvlJc w:val="left"/>
      <w:pPr>
        <w:tabs>
          <w:tab w:val="num" w:pos="643"/>
        </w:tabs>
        <w:ind w:left="643" w:hanging="283"/>
      </w:pPr>
      <w:rPr>
        <w:b w:val="false"/>
        <w:rFonts w:eastAsia="Symbol" w:cs="Symbol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/>
    </w:lvl>
    <w:lvl w:ilvl="2">
      <w:start w:val="1"/>
      <w:numFmt w:val="decimal"/>
      <w:lvlText w:val="Rys. nr B%3."/>
      <w:lvlJc w:val="left"/>
      <w:pPr>
        <w:tabs>
          <w:tab w:val="num" w:pos="1800"/>
        </w:tabs>
        <w:ind w:left="1800" w:hanging="360"/>
      </w:pPr>
      <w:rPr/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/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  <w:rPr/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  <w:rPr/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  <w:rPr/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  <w:rPr/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  <w:rPr/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</w:numbering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f94f7c"/>
    <w:pPr>
      <w:widowControl/>
      <w:bidi w:val="0"/>
      <w:spacing w:lineRule="auto" w:line="259" w:before="120" w:after="120"/>
      <w:ind w:firstLine="709"/>
      <w:jc w:val="both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1"/>
    <w:uiPriority w:val="9"/>
    <w:qFormat/>
    <w:rsid w:val="00ad27af"/>
    <w:rPr>
      <w:rFonts w:ascii="Times New Roman" w:hAnsi="Times New Roman" w:eastAsia="" w:cs="" w:cstheme="majorBidi" w:eastAsiaTheme="majorEastAsia"/>
      <w:b/>
      <w:sz w:val="32"/>
      <w:szCs w:val="32"/>
    </w:rPr>
  </w:style>
  <w:style w:type="character" w:styleId="Nagwek2Znak" w:customStyle="1">
    <w:name w:val="Nagłówek 2 Znak"/>
    <w:basedOn w:val="DefaultParagraphFont"/>
    <w:link w:val="Nagwek21"/>
    <w:uiPriority w:val="9"/>
    <w:qFormat/>
    <w:rsid w:val="00480134"/>
    <w:rPr>
      <w:rFonts w:ascii="Times New Roman" w:hAnsi="Times New Roman" w:eastAsia="" w:cs="" w:cstheme="majorBidi" w:eastAsiaTheme="majorEastAsia"/>
      <w:b/>
      <w:color w:val="00000A"/>
      <w:sz w:val="28"/>
      <w:szCs w:val="26"/>
    </w:rPr>
  </w:style>
  <w:style w:type="character" w:styleId="TytuZnak" w:customStyle="1">
    <w:name w:val="Tytuł Znak"/>
    <w:basedOn w:val="DefaultParagraphFont"/>
    <w:uiPriority w:val="10"/>
    <w:qFormat/>
    <w:rsid w:val="00b37828"/>
    <w:rPr>
      <w:rFonts w:ascii="Times New Roman" w:hAnsi="Times New Roman" w:eastAsia="" w:cs="" w:cstheme="majorBidi" w:eastAsiaTheme="majorEastAsia"/>
      <w:spacing w:val="-10"/>
      <w:sz w:val="24"/>
      <w:szCs w:val="56"/>
    </w:rPr>
  </w:style>
  <w:style w:type="character" w:styleId="NagwekZnak" w:customStyle="1">
    <w:name w:val="Nagłówek Znak"/>
    <w:basedOn w:val="DefaultParagraphFont"/>
    <w:uiPriority w:val="99"/>
    <w:qFormat/>
    <w:rsid w:val="00b37828"/>
    <w:rPr>
      <w:rFonts w:ascii="Times New Roman" w:hAnsi="Times New Roman"/>
      <w:sz w:val="28"/>
    </w:rPr>
  </w:style>
  <w:style w:type="character" w:styleId="StopkaZnak" w:customStyle="1">
    <w:name w:val="Stopka Znak"/>
    <w:basedOn w:val="DefaultParagraphFont"/>
    <w:link w:val="Stopka1"/>
    <w:uiPriority w:val="99"/>
    <w:qFormat/>
    <w:rsid w:val="00b37828"/>
    <w:rPr>
      <w:rFonts w:ascii="Times New Roman" w:hAnsi="Times New Roman"/>
      <w:sz w:val="28"/>
    </w:rPr>
  </w:style>
  <w:style w:type="character" w:styleId="Nagwek3Znak" w:customStyle="1">
    <w:name w:val="Nagłówek 3 Znak"/>
    <w:basedOn w:val="DefaultParagraphFont"/>
    <w:link w:val="Nagwek31"/>
    <w:uiPriority w:val="9"/>
    <w:qFormat/>
    <w:rsid w:val="00922f7c"/>
    <w:rPr>
      <w:rFonts w:ascii="Times New Roman" w:hAnsi="Times New Roman" w:eastAsia="" w:cs="" w:cstheme="majorBidi" w:eastAsiaTheme="majorEastAsia"/>
      <w:b/>
      <w:sz w:val="28"/>
      <w:szCs w:val="24"/>
    </w:rPr>
  </w:style>
  <w:style w:type="character" w:styleId="czeinternetoweuser" w:customStyle="1">
    <w:name w:val="Łącze internetowe (user)"/>
    <w:basedOn w:val="DefaultParagraphFont"/>
    <w:uiPriority w:val="99"/>
    <w:unhideWhenUsed/>
    <w:qFormat/>
    <w:rsid w:val="007a5d22"/>
    <w:rPr>
      <w:color w:themeColor="hyperlink" w:val="0563C1"/>
      <w:u w:val="single"/>
    </w:rPr>
  </w:style>
  <w:style w:type="character" w:styleId="Tekstpodstawowy2Znak" w:customStyle="1">
    <w:name w:val="Tekst podstawowy 2 Znak"/>
    <w:basedOn w:val="DefaultParagraphFont"/>
    <w:link w:val="BodyText2"/>
    <w:uiPriority w:val="99"/>
    <w:qFormat/>
    <w:rsid w:val="006322a9"/>
    <w:rPr>
      <w:rFonts w:ascii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qFormat/>
    <w:rsid w:val="00235859"/>
    <w:rPr>
      <w:color w:val="808080"/>
    </w:rPr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6635e9"/>
    <w:rPr>
      <w:rFonts w:ascii="Segoe UI" w:hAnsi="Segoe UI" w:cs="Segoe UI"/>
      <w:sz w:val="18"/>
      <w:szCs w:val="18"/>
    </w:rPr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b57c5f"/>
    <w:rPr>
      <w:color w:val="605E5C"/>
      <w:shd w:fill="E1DFDD" w:val="clear"/>
    </w:rPr>
  </w:style>
  <w:style w:type="character" w:styleId="FontStyle88" w:customStyle="1">
    <w:name w:val="Font Style88"/>
    <w:qFormat/>
    <w:rsid w:val="00f94f7c"/>
    <w:rPr>
      <w:rFonts w:ascii="Verdana" w:hAnsi="Verdana" w:cs="Verdana"/>
      <w:sz w:val="22"/>
      <w:szCs w:val="22"/>
    </w:rPr>
  </w:style>
  <w:style w:type="character" w:styleId="Strong">
    <w:name w:val="Strong"/>
    <w:basedOn w:val="DefaultParagraphFont"/>
    <w:qFormat/>
    <w:rsid w:val="00f7290a"/>
    <w:rPr>
      <w:b/>
      <w:bCs/>
    </w:rPr>
  </w:style>
  <w:style w:type="character" w:styleId="PageNumber">
    <w:name w:val="page number"/>
    <w:basedOn w:val="DefaultParagraphFont"/>
    <w:qFormat/>
    <w:rsid w:val="000e0cf2"/>
    <w:rPr/>
  </w:style>
  <w:style w:type="character" w:styleId="TekstpodstawowyZnak" w:customStyle="1">
    <w:name w:val="Tekst podstawowy Znak"/>
    <w:basedOn w:val="DefaultParagraphFont"/>
    <w:uiPriority w:val="99"/>
    <w:qFormat/>
    <w:rsid w:val="0084132f"/>
    <w:rPr>
      <w:rFonts w:ascii="Times New Roman" w:hAnsi="Times New Roman"/>
      <w:sz w:val="24"/>
    </w:rPr>
  </w:style>
  <w:style w:type="character" w:styleId="Tekstpodstawowywcity3Znak" w:customStyle="1">
    <w:name w:val="Tekst podstawowy wcięty 3 Znak"/>
    <w:basedOn w:val="DefaultParagraphFont"/>
    <w:link w:val="BodyTextIndent3"/>
    <w:uiPriority w:val="99"/>
    <w:semiHidden/>
    <w:qFormat/>
    <w:rsid w:val="0084132f"/>
    <w:rPr>
      <w:rFonts w:ascii="Times New Roman" w:hAnsi="Times New Roman"/>
      <w:sz w:val="16"/>
      <w:szCs w:val="16"/>
    </w:rPr>
  </w:style>
  <w:style w:type="character" w:styleId="Nagwek4Znak" w:customStyle="1">
    <w:name w:val="Nagłówek 4 Znak"/>
    <w:basedOn w:val="DefaultParagraphFont"/>
    <w:link w:val="Nagwek41"/>
    <w:uiPriority w:val="9"/>
    <w:semiHidden/>
    <w:qFormat/>
    <w:rsid w:val="006b34be"/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  <w:sz w:val="24"/>
    </w:rPr>
  </w:style>
  <w:style w:type="character" w:styleId="czeindeksuuser" w:customStyle="1">
    <w:name w:val="Łącze indeksu (user)"/>
    <w:qFormat/>
    <w:rsid w:val="00ee0f13"/>
    <w:rPr/>
  </w:style>
  <w:style w:type="character" w:styleId="Znakiwypunktowaniauser" w:customStyle="1">
    <w:name w:val="Znaki wypunktowania (user)"/>
    <w:qFormat/>
    <w:rsid w:val="00ee0f13"/>
    <w:rPr>
      <w:rFonts w:ascii="OpenSymbol" w:hAnsi="OpenSymbol" w:eastAsia="OpenSymbol" w:cs="OpenSymbol"/>
    </w:rPr>
  </w:style>
  <w:style w:type="character" w:styleId="Znakinumeracjiuser" w:customStyle="1">
    <w:name w:val="Znaki numeracji (user)"/>
    <w:qFormat/>
    <w:rsid w:val="00ee0f13"/>
    <w:rPr/>
  </w:style>
  <w:style w:type="character" w:styleId="Hyperlink">
    <w:name w:val="Hyperlink"/>
    <w:basedOn w:val="DefaultParagraphFont"/>
    <w:uiPriority w:val="99"/>
    <w:unhideWhenUsed/>
    <w:rsid w:val="00e44264"/>
    <w:rPr>
      <w:color w:themeColor="hyperlink" w:val="0563C1"/>
      <w:u w:val="single"/>
    </w:rPr>
  </w:style>
  <w:style w:type="character" w:styleId="StopkaZnak1" w:customStyle="1">
    <w:name w:val="Stopka Znak1"/>
    <w:basedOn w:val="DefaultParagraphFont"/>
    <w:qFormat/>
    <w:rsid w:val="00e44264"/>
    <w:rPr>
      <w:rFonts w:ascii="Times New Roman" w:hAnsi="Times New Roman"/>
      <w:color w:val="00000A"/>
      <w:sz w:val="24"/>
    </w:rPr>
  </w:style>
  <w:style w:type="character" w:styleId="markedcontent" w:customStyle="1">
    <w:name w:val="markedcontent"/>
    <w:basedOn w:val="DefaultParagraphFont"/>
    <w:qFormat/>
    <w:rsid w:val="00af04a2"/>
    <w:rPr/>
  </w:style>
  <w:style w:type="character" w:styleId="Tekstpodstawowywcity2Znak" w:customStyle="1">
    <w:name w:val="Tekst podstawowy wcięty 2 Znak"/>
    <w:basedOn w:val="DefaultParagraphFont"/>
    <w:link w:val="BodyTextIndent2"/>
    <w:uiPriority w:val="99"/>
    <w:semiHidden/>
    <w:qFormat/>
    <w:rsid w:val="00af04a2"/>
    <w:rPr>
      <w:rFonts w:ascii="Times New Roman" w:hAnsi="Times New Roman"/>
      <w:color w:val="00000A"/>
      <w:sz w:val="24"/>
    </w:rPr>
  </w:style>
  <w:style w:type="character" w:styleId="czeindeksu">
    <w:name w:val="Łącze indeksu"/>
    <w:qFormat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TekstpodstawowyZnak"/>
    <w:uiPriority w:val="99"/>
    <w:unhideWhenUsed/>
    <w:rsid w:val="0084132f"/>
    <w:pPr/>
    <w:rPr/>
  </w:style>
  <w:style w:type="paragraph" w:styleId="List">
    <w:name w:val="List"/>
    <w:basedOn w:val="BodyText"/>
    <w:rsid w:val="00ee0f13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Nagwek11" w:customStyle="1">
    <w:name w:val="Nagłówek 11"/>
    <w:basedOn w:val="Normal"/>
    <w:link w:val="Nagwek1Znak"/>
    <w:uiPriority w:val="9"/>
    <w:qFormat/>
    <w:rsid w:val="00ad27af"/>
    <w:pPr>
      <w:keepNext w:val="true"/>
      <w:keepLines/>
      <w:numPr>
        <w:ilvl w:val="0"/>
        <w:numId w:val="1"/>
      </w:numPr>
      <w:outlineLvl w:val="0"/>
    </w:pPr>
    <w:rPr>
      <w:rFonts w:eastAsia="" w:cs="" w:cstheme="majorBidi" w:eastAsiaTheme="majorEastAsia"/>
      <w:b/>
      <w:sz w:val="32"/>
      <w:szCs w:val="32"/>
    </w:rPr>
  </w:style>
  <w:style w:type="paragraph" w:styleId="Nagwek21" w:customStyle="1">
    <w:name w:val="Nagłówek 21"/>
    <w:basedOn w:val="Normal"/>
    <w:link w:val="Nagwek2Znak"/>
    <w:autoRedefine/>
    <w:uiPriority w:val="9"/>
    <w:unhideWhenUsed/>
    <w:qFormat/>
    <w:rsid w:val="00480134"/>
    <w:pPr>
      <w:keepNext w:val="true"/>
      <w:keepLines/>
      <w:numPr>
        <w:ilvl w:val="1"/>
        <w:numId w:val="3"/>
      </w:numPr>
      <w:tabs>
        <w:tab w:val="clear" w:pos="708"/>
        <w:tab w:val="left" w:pos="1983" w:leader="none"/>
        <w:tab w:val="left" w:pos="2150" w:leader="none"/>
        <w:tab w:val="left" w:pos="2267" w:leader="none"/>
      </w:tabs>
      <w:ind w:firstLine="425" w:left="993"/>
      <w:jc w:val="left"/>
    </w:pPr>
    <w:rPr>
      <w:rFonts w:eastAsia="" w:cs="" w:cstheme="majorBidi" w:eastAsiaTheme="majorEastAsia"/>
      <w:b/>
      <w:sz w:val="28"/>
      <w:szCs w:val="26"/>
    </w:rPr>
  </w:style>
  <w:style w:type="paragraph" w:styleId="Nagwek31" w:customStyle="1">
    <w:name w:val="Nagłówek 31"/>
    <w:basedOn w:val="Normal"/>
    <w:link w:val="Nagwek3Znak"/>
    <w:uiPriority w:val="9"/>
    <w:unhideWhenUsed/>
    <w:qFormat/>
    <w:rsid w:val="00922f7c"/>
    <w:pPr>
      <w:keepNext w:val="true"/>
      <w:keepLines/>
      <w:numPr>
        <w:ilvl w:val="2"/>
        <w:numId w:val="1"/>
      </w:numPr>
      <w:outlineLvl w:val="2"/>
    </w:pPr>
    <w:rPr>
      <w:rFonts w:eastAsia="" w:cs="" w:cstheme="majorBidi" w:eastAsiaTheme="majorEastAsia"/>
      <w:b/>
      <w:sz w:val="28"/>
      <w:szCs w:val="24"/>
    </w:rPr>
  </w:style>
  <w:style w:type="paragraph" w:styleId="Nagwek41" w:customStyle="1">
    <w:name w:val="Nagłówek 41"/>
    <w:basedOn w:val="Normal"/>
    <w:link w:val="Nagwek4Znak"/>
    <w:uiPriority w:val="9"/>
    <w:semiHidden/>
    <w:unhideWhenUsed/>
    <w:qFormat/>
    <w:rsid w:val="006b34be"/>
    <w:pPr>
      <w:keepNext w:val="true"/>
      <w:keepLines/>
      <w:spacing w:before="200" w:after="0"/>
      <w:outlineLvl w:val="3"/>
    </w:pPr>
    <w:rPr>
      <w:rFonts w:ascii="Calibri Light" w:hAnsi="Calibri Light" w:eastAsia="" w:cs="" w:asciiTheme="majorHAnsi" w:cstheme="majorBidi" w:eastAsiaTheme="majorEastAsia" w:hAnsiTheme="majorHAnsi"/>
      <w:b/>
      <w:bCs/>
      <w:i/>
      <w:iCs/>
      <w:color w:themeColor="accent1" w:val="5B9BD5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qFormat/>
    <w:rsid w:val="00ee0f13"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Legenda1" w:customStyle="1">
    <w:name w:val="Legenda1"/>
    <w:basedOn w:val="Normal"/>
    <w:qFormat/>
    <w:rsid w:val="00ee0f13"/>
    <w:pPr>
      <w:suppressLineNumbers/>
    </w:pPr>
    <w:rPr>
      <w:rFonts w:cs="Mangal"/>
      <w:i/>
      <w:iCs/>
      <w:szCs w:val="24"/>
    </w:rPr>
  </w:style>
  <w:style w:type="paragraph" w:styleId="Indeksuser" w:customStyle="1">
    <w:name w:val="Indeks (user)"/>
    <w:basedOn w:val="Normal"/>
    <w:qFormat/>
    <w:rsid w:val="00ee0f13"/>
    <w:pPr>
      <w:suppressLineNumbers/>
    </w:pPr>
    <w:rPr>
      <w:rFonts w:cs="Mangal"/>
    </w:rPr>
  </w:style>
  <w:style w:type="paragraph" w:styleId="Title">
    <w:name w:val="Title"/>
    <w:basedOn w:val="Normal"/>
    <w:link w:val="TytuZnak"/>
    <w:uiPriority w:val="10"/>
    <w:qFormat/>
    <w:rsid w:val="00b37828"/>
    <w:pPr>
      <w:spacing w:lineRule="auto" w:line="240" w:before="0" w:after="0"/>
      <w:contextualSpacing/>
    </w:pPr>
    <w:rPr>
      <w:rFonts w:eastAsia="" w:cs="" w:cstheme="majorBidi" w:eastAsiaTheme="majorEastAsia"/>
      <w:spacing w:val="-10"/>
      <w:szCs w:val="56"/>
    </w:rPr>
  </w:style>
  <w:style w:type="paragraph" w:styleId="NoSpacing">
    <w:name w:val="No Spacing"/>
    <w:qFormat/>
    <w:rsid w:val="0015180a"/>
    <w:pPr>
      <w:widowControl/>
      <w:bidi w:val="0"/>
      <w:spacing w:before="0" w:after="0"/>
      <w:jc w:val="left"/>
    </w:pPr>
    <w:rPr>
      <w:rFonts w:ascii="Times New Roman" w:hAnsi="Times New Roman" w:eastAsia="Calibri" w:cs=""/>
      <w:color w:val="00000A"/>
      <w:kern w:val="0"/>
      <w:sz w:val="24"/>
      <w:szCs w:val="22"/>
      <w:lang w:val="pl-PL" w:eastAsia="en-US" w:bidi="ar-SA"/>
    </w:rPr>
  </w:style>
  <w:style w:type="paragraph" w:styleId="Nagwek1" w:customStyle="1">
    <w:name w:val="Nagłówek1"/>
    <w:basedOn w:val="Normal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Stopka1" w:customStyle="1">
    <w:name w:val="Stopka1"/>
    <w:basedOn w:val="Normal"/>
    <w:link w:val="StopkaZnak"/>
    <w:unhideWhenUsed/>
    <w:qFormat/>
    <w:rsid w:val="00b37828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Nagwek11"/>
    <w:uiPriority w:val="39"/>
    <w:unhideWhenUsed/>
    <w:qFormat/>
    <w:rsid w:val="006b6f1c"/>
    <w:pPr>
      <w:numPr>
        <w:ilvl w:val="0"/>
        <w:numId w:val="0"/>
      </w:numPr>
      <w:ind w:firstLine="709"/>
    </w:pPr>
    <w:rPr>
      <w:rFonts w:ascii="Calibri Light" w:hAnsi="Calibri Light" w:asciiTheme="majorHAnsi" w:hAnsiTheme="majorHAnsi"/>
      <w:color w:themeColor="accent1" w:themeShade="bf" w:val="2E74B5"/>
      <w:lang w:eastAsia="pl-PL"/>
    </w:rPr>
  </w:style>
  <w:style w:type="paragraph" w:styleId="Spistreci11" w:customStyle="1">
    <w:name w:val="Spis treści 11"/>
    <w:basedOn w:val="Normal"/>
    <w:autoRedefine/>
    <w:uiPriority w:val="39"/>
    <w:unhideWhenUsed/>
    <w:qFormat/>
    <w:rsid w:val="007a5d22"/>
    <w:pPr>
      <w:spacing w:before="120" w:after="100"/>
    </w:pPr>
    <w:rPr/>
  </w:style>
  <w:style w:type="paragraph" w:styleId="BodyText2">
    <w:name w:val="Body Text 2"/>
    <w:basedOn w:val="Normal"/>
    <w:link w:val="Tekstpodstawowy2Znak"/>
    <w:uiPriority w:val="99"/>
    <w:qFormat/>
    <w:rsid w:val="006322a9"/>
    <w:pPr>
      <w:spacing w:lineRule="auto" w:line="240" w:before="0" w:after="0"/>
      <w:ind w:hanging="0"/>
      <w:jc w:val="left"/>
    </w:pPr>
    <w:rPr>
      <w:rFonts w:cs="Times New Roman"/>
      <w:szCs w:val="24"/>
    </w:rPr>
  </w:style>
  <w:style w:type="paragraph" w:styleId="ListParagraph">
    <w:name w:val="List Paragraph"/>
    <w:basedOn w:val="Normal"/>
    <w:uiPriority w:val="34"/>
    <w:qFormat/>
    <w:rsid w:val="006322a9"/>
    <w:pPr>
      <w:spacing w:before="120" w:after="120"/>
      <w:ind w:left="720"/>
      <w:contextualSpacing/>
    </w:pPr>
    <w:rPr/>
  </w:style>
  <w:style w:type="paragraph" w:styleId="Default" w:customStyle="1">
    <w:name w:val="Default"/>
    <w:qFormat/>
    <w:rsid w:val="00b66d87"/>
    <w:pPr>
      <w:widowControl/>
      <w:bidi w:val="0"/>
      <w:spacing w:before="0" w:after="0"/>
      <w:jc w:val="left"/>
    </w:pPr>
    <w:rPr>
      <w:rFonts w:ascii="Times New Roman" w:hAnsi="Times New Roman" w:eastAsia="Calibri" w:cs="Times New Roman"/>
      <w:color w:val="000000"/>
      <w:kern w:val="0"/>
      <w:sz w:val="24"/>
      <w:szCs w:val="24"/>
      <w:lang w:val="pl-PL" w:eastAsia="en-US" w:bidi="ar-SA"/>
    </w:rPr>
  </w:style>
  <w:style w:type="paragraph" w:styleId="Tekstpodstawowywciety" w:customStyle="1">
    <w:name w:val="Tekst podstawowy wciety"/>
    <w:basedOn w:val="Default"/>
    <w:next w:val="Default"/>
    <w:uiPriority w:val="99"/>
    <w:qFormat/>
    <w:rsid w:val="00ac4c2a"/>
    <w:pPr/>
    <w:rPr>
      <w:color w:val="00000A"/>
    </w:rPr>
  </w:style>
  <w:style w:type="paragraph" w:styleId="Spistreci21" w:customStyle="1">
    <w:name w:val="Spis treści 21"/>
    <w:basedOn w:val="Normal"/>
    <w:autoRedefine/>
    <w:uiPriority w:val="39"/>
    <w:unhideWhenUsed/>
    <w:qFormat/>
    <w:rsid w:val="00582793"/>
    <w:pPr>
      <w:tabs>
        <w:tab w:val="clear" w:pos="708"/>
        <w:tab w:val="left" w:pos="880" w:leader="none"/>
        <w:tab w:val="right" w:pos="9062" w:leader="dot"/>
      </w:tabs>
      <w:spacing w:before="120" w:after="100"/>
      <w:ind w:left="240"/>
      <w:jc w:val="left"/>
    </w:pPr>
    <w:rPr/>
  </w:style>
  <w:style w:type="paragraph" w:styleId="Spistreci31" w:customStyle="1">
    <w:name w:val="Spis treści 31"/>
    <w:basedOn w:val="Normal"/>
    <w:autoRedefine/>
    <w:uiPriority w:val="39"/>
    <w:unhideWhenUsed/>
    <w:qFormat/>
    <w:rsid w:val="00457ca6"/>
    <w:pPr>
      <w:spacing w:before="120" w:after="100"/>
      <w:ind w:left="48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6635e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Teksttreci" w:customStyle="1">
    <w:name w:val="Tekst treści"/>
    <w:basedOn w:val="Normal"/>
    <w:qFormat/>
    <w:rsid w:val="00b60f79"/>
    <w:pPr>
      <w:shd w:val="clear" w:color="auto" w:fill="FFFFFF"/>
      <w:suppressAutoHyphens w:val="true"/>
      <w:spacing w:lineRule="exact" w:line="206" w:before="0" w:after="0"/>
      <w:ind w:hanging="440"/>
      <w:jc w:val="right"/>
    </w:pPr>
    <w:rPr>
      <w:rFonts w:ascii="Calibri" w:hAnsi="Calibri" w:eastAsia="Calibri" w:cs="Calibri"/>
      <w:sz w:val="18"/>
      <w:szCs w:val="18"/>
      <w:lang w:eastAsia="ar-SA"/>
    </w:rPr>
  </w:style>
  <w:style w:type="paragraph" w:styleId="Style24" w:customStyle="1">
    <w:name w:val="Style24"/>
    <w:basedOn w:val="Normal"/>
    <w:qFormat/>
    <w:rsid w:val="00f94f7c"/>
    <w:pPr>
      <w:widowControl w:val="false"/>
      <w:suppressAutoHyphens w:val="true"/>
      <w:spacing w:lineRule="exact" w:line="438" w:before="0" w:after="0"/>
      <w:ind w:firstLine="706"/>
    </w:pPr>
    <w:rPr>
      <w:rFonts w:ascii="Verdana" w:hAnsi="Verdana" w:eastAsia="Times New Roman" w:cs="Verdana"/>
      <w:szCs w:val="24"/>
      <w:lang w:eastAsia="ar-SA"/>
    </w:rPr>
  </w:style>
  <w:style w:type="paragraph" w:styleId="product" w:customStyle="1">
    <w:name w:val="product"/>
    <w:basedOn w:val="Normal"/>
    <w:qFormat/>
    <w:rsid w:val="00f7290a"/>
    <w:pPr>
      <w:spacing w:lineRule="auto" w:line="240" w:beforeAutospacing="1" w:afterAutospacing="1"/>
      <w:ind w:hanging="0"/>
      <w:jc w:val="left"/>
    </w:pPr>
    <w:rPr>
      <w:rFonts w:eastAsia="Times New Roman" w:cs="Times New Roman"/>
      <w:szCs w:val="24"/>
      <w:lang w:eastAsia="pl-PL"/>
    </w:rPr>
  </w:style>
  <w:style w:type="paragraph" w:styleId="BodyTextIndent3">
    <w:name w:val="Body Text Indent 3"/>
    <w:basedOn w:val="Normal"/>
    <w:link w:val="Tekstpodstawowywcity3Znak"/>
    <w:uiPriority w:val="99"/>
    <w:semiHidden/>
    <w:unhideWhenUsed/>
    <w:qFormat/>
    <w:rsid w:val="0084132f"/>
    <w:pPr>
      <w:ind w:left="283"/>
    </w:pPr>
    <w:rPr>
      <w:sz w:val="16"/>
      <w:szCs w:val="16"/>
    </w:rPr>
  </w:style>
  <w:style w:type="paragraph" w:styleId="Wcicienormalne1" w:customStyle="1">
    <w:name w:val="Wcięcie normalne1"/>
    <w:basedOn w:val="Normal"/>
    <w:qFormat/>
    <w:rsid w:val="006b34be"/>
    <w:pPr>
      <w:suppressAutoHyphens w:val="true"/>
      <w:spacing w:lineRule="auto" w:line="240" w:before="0" w:after="0"/>
      <w:ind w:hanging="0" w:left="708"/>
      <w:jc w:val="left"/>
    </w:pPr>
    <w:rPr>
      <w:rFonts w:eastAsia="Times New Roman" w:cs="Times New Roman"/>
      <w:szCs w:val="20"/>
      <w:lang w:eastAsia="zh-CN"/>
    </w:rPr>
  </w:style>
  <w:style w:type="paragraph" w:styleId="Subtitle">
    <w:name w:val="Subtitle"/>
    <w:basedOn w:val="Header"/>
    <w:qFormat/>
    <w:rsid w:val="00ee0f13"/>
    <w:pPr/>
    <w:rPr/>
  </w:style>
  <w:style w:type="paragraph" w:styleId="TOC1">
    <w:name w:val="toc 1"/>
    <w:basedOn w:val="Normal"/>
    <w:next w:val="Normal"/>
    <w:autoRedefine/>
    <w:uiPriority w:val="39"/>
    <w:unhideWhenUsed/>
    <w:rsid w:val="00e44264"/>
    <w:pPr>
      <w:spacing w:before="120" w:after="100"/>
    </w:pPr>
    <w:rPr/>
  </w:style>
  <w:style w:type="paragraph" w:styleId="TOC3">
    <w:name w:val="toc 3"/>
    <w:basedOn w:val="Normal"/>
    <w:next w:val="Normal"/>
    <w:autoRedefine/>
    <w:uiPriority w:val="39"/>
    <w:unhideWhenUsed/>
    <w:rsid w:val="00e44264"/>
    <w:pPr>
      <w:spacing w:before="120" w:after="100"/>
      <w:ind w:left="480"/>
    </w:pPr>
    <w:rPr/>
  </w:style>
  <w:style w:type="paragraph" w:styleId="Footer">
    <w:name w:val="footer"/>
    <w:basedOn w:val="Normal"/>
    <w:link w:val="StopkaZnak1"/>
    <w:unhideWhenUsed/>
    <w:rsid w:val="00e4426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odyTextIndent2">
    <w:name w:val="Body Text Indent 2"/>
    <w:basedOn w:val="Normal"/>
    <w:link w:val="Tekstpodstawowywcity2Znak"/>
    <w:uiPriority w:val="99"/>
    <w:semiHidden/>
    <w:unhideWhenUsed/>
    <w:qFormat/>
    <w:rsid w:val="00af04a2"/>
    <w:pPr>
      <w:spacing w:lineRule="auto" w:line="480"/>
      <w:ind w:left="283"/>
    </w:pPr>
    <w:rPr/>
  </w:style>
  <w:style w:type="numbering" w:styleId="Bezlisty" w:default="1">
    <w:name w:val="Bez listy"/>
    <w:uiPriority w:val="99"/>
    <w:semiHidden/>
    <w:unhideWhenUsed/>
    <w:qFormat/>
  </w:style>
  <w:style w:type="numbering" w:styleId="WW8Num14" w:customStyle="1">
    <w:name w:val="WW8Num14"/>
    <w:qFormat/>
    <w:rsid w:val="00ee0f13"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b37828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yperlink" Target="http://www.emiter.com/" TargetMode="External"/><Relationship Id="rId4" Type="http://schemas.openxmlformats.org/officeDocument/2006/relationships/hyperlink" Target="mailto:kontenerowe@emiter.com" TargetMode="External"/><Relationship Id="rId5" Type="http://schemas.openxmlformats.org/officeDocument/2006/relationships/header" Target="header1.xml"/><Relationship Id="rId6" Type="http://schemas.openxmlformats.org/officeDocument/2006/relationships/header" Target="header2.xml"/><Relationship Id="rId7" Type="http://schemas.openxmlformats.org/officeDocument/2006/relationships/header" Target="header3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footer" Target="footer3.xml"/><Relationship Id="rId11" Type="http://schemas.openxmlformats.org/officeDocument/2006/relationships/numbering" Target="numbering.xml"/><Relationship Id="rId12" Type="http://schemas.openxmlformats.org/officeDocument/2006/relationships/fontTable" Target="fontTable.xml"/><Relationship Id="rId13" Type="http://schemas.openxmlformats.org/officeDocument/2006/relationships/settings" Target="settings.xml"/><Relationship Id="rId14" Type="http://schemas.openxmlformats.org/officeDocument/2006/relationships/theme" Target="theme/theme1.xml"/><Relationship Id="rId15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hyperlink" Target="https://www.emiter.com/" TargetMode="External"/><Relationship Id="rId2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7E4FFA-12C4-4FEF-85B9-7E4E1A887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Application>LibreOffice/25.2.7.2$Windows_X86_64 LibreOffice_project/5cbfd1ab6520636bb5f7b99185aa69bd7456825d</Application>
  <AppVersion>15.0000</AppVersion>
  <DocSecurity>0</DocSecurity>
  <Pages>15</Pages>
  <Words>2854</Words>
  <Characters>18335</Characters>
  <CharactersWithSpaces>21125</CharactersWithSpaces>
  <Paragraphs>263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2024-02-26T13:27:00Z</dcterms:created>
  <dc:creator>Marek</dc:creator>
  <dc:description/>
  <dc:language>pl-PL</dc:language>
  <cp:lastModifiedBy/>
  <cp:lastPrinted>2022-05-10T06:53:00Z</cp:lastPrinted>
  <dcterms:modified xsi:type="dcterms:W3CDTF">2026-02-10T11:54:32Z</dcterms:modified>
  <cp:revision>15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